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E8B5" w14:textId="2343B992" w:rsidR="00EC4803" w:rsidRDefault="00000000" w:rsidP="00747565">
      <w:pPr>
        <w:spacing w:before="243"/>
        <w:ind w:right="511"/>
        <w:jc w:val="center"/>
        <w:rPr>
          <w:sz w:val="48"/>
        </w:rPr>
      </w:pPr>
      <w:r>
        <w:rPr>
          <w:rFonts w:ascii="Carlito"/>
          <w:b/>
          <w:w w:val="105"/>
          <w:sz w:val="48"/>
        </w:rPr>
        <w:t xml:space="preserve">Gefahren </w:t>
      </w:r>
      <w:r>
        <w:rPr>
          <w:w w:val="105"/>
          <w:sz w:val="48"/>
        </w:rPr>
        <w:t>der Pertussis-Impfung</w:t>
      </w:r>
      <w:r w:rsidR="00747565">
        <w:rPr>
          <w:w w:val="105"/>
          <w:sz w:val="48"/>
        </w:rPr>
        <w:t xml:space="preserve"> </w:t>
      </w:r>
      <w:r>
        <w:rPr>
          <w:w w:val="105"/>
          <w:sz w:val="48"/>
        </w:rPr>
        <w:t>1</w:t>
      </w:r>
    </w:p>
    <w:p w14:paraId="47445EE4" w14:textId="77777777" w:rsidR="00EC4803" w:rsidRDefault="00000000">
      <w:pPr>
        <w:pStyle w:val="Textkrper"/>
        <w:tabs>
          <w:tab w:val="left" w:pos="1950"/>
          <w:tab w:val="left" w:pos="3081"/>
          <w:tab w:val="left" w:pos="3476"/>
          <w:tab w:val="left" w:pos="4438"/>
        </w:tabs>
        <w:spacing w:before="307" w:line="242" w:lineRule="auto"/>
        <w:ind w:left="112" w:right="5099"/>
        <w:jc w:val="both"/>
      </w:pPr>
      <w:r>
        <w:pict w14:anchorId="6C6DD481">
          <v:group id="_x0000_s2051" style="position:absolute;left:0;text-align:left;margin-left:293pt;margin-top:12.6pt;width:252pt;height:243pt;z-index:15728640;mso-position-horizontal-relative:page" coordorigin="5860,252" coordsize="5040,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5860;top:251;width:5040;height:4860">
              <v:imagedata r:id="rId7" o:title=""/>
            </v:shape>
            <v:shape id="_x0000_s2053" type="#_x0000_t75" style="position:absolute;left:6000;top:391;width:4711;height:4537">
              <v:imagedata r:id="rId8" o:title=""/>
            </v:shape>
            <v:shape id="_x0000_s2052" style="position:absolute;left:6000;top:391;width:4710;height:4537" coordorigin="6000,392" coordsize="4710,4537" path="m6153,392r4557,159l10557,4929,6000,4769,6153,392xe" filled="f" strokecolor="white" strokeweight="5pt">
              <v:path arrowok="t"/>
            </v:shape>
            <w10:wrap anchorx="page"/>
          </v:group>
        </w:pict>
      </w:r>
      <w:r>
        <w:t>Der Keuchhustenimpfstoff in der Kombinationsimpfung DPT (Diphtherie- Tetanus-Pertussis), der Keuchhusten verhindern</w:t>
      </w:r>
      <w:r>
        <w:tab/>
        <w:t>soll,</w:t>
      </w:r>
      <w:r>
        <w:tab/>
        <w:t>wurde</w:t>
      </w:r>
      <w:r>
        <w:tab/>
      </w:r>
      <w:r>
        <w:rPr>
          <w:spacing w:val="-6"/>
        </w:rPr>
        <w:t xml:space="preserve">mit </w:t>
      </w:r>
      <w:r>
        <w:t>Hirnentzündungen,</w:t>
      </w:r>
      <w:r>
        <w:tab/>
      </w:r>
      <w:r>
        <w:tab/>
        <w:t>dauerhaften Hirnschäden und dem Tod von Säuglingen in Verbindung gebracht, seit er in den USA massenhaft eingesetzt</w:t>
      </w:r>
      <w:r>
        <w:rPr>
          <w:spacing w:val="-1"/>
        </w:rPr>
        <w:t xml:space="preserve"> </w:t>
      </w:r>
      <w:r>
        <w:t>wurde.</w:t>
      </w:r>
    </w:p>
    <w:p w14:paraId="24F92353" w14:textId="77777777" w:rsidR="00EC4803" w:rsidRDefault="00000000">
      <w:pPr>
        <w:pStyle w:val="Textkrper"/>
        <w:spacing w:before="3"/>
        <w:ind w:left="112"/>
        <w:jc w:val="both"/>
      </w:pPr>
      <w:r>
        <w:t>USA ab den späten 1940er Jahren.</w:t>
      </w:r>
    </w:p>
    <w:p w14:paraId="04CD0079" w14:textId="77777777" w:rsidR="00EC4803" w:rsidRDefault="00EC4803">
      <w:pPr>
        <w:pStyle w:val="Textkrper"/>
        <w:spacing w:before="8"/>
      </w:pPr>
    </w:p>
    <w:p w14:paraId="4797C2DA" w14:textId="77777777" w:rsidR="00EC4803" w:rsidRDefault="00000000">
      <w:pPr>
        <w:pStyle w:val="Textkrper"/>
        <w:spacing w:line="242" w:lineRule="auto"/>
        <w:ind w:left="112" w:right="5178"/>
        <w:jc w:val="both"/>
      </w:pPr>
      <w:r>
        <w:t xml:space="preserve">Ein 1985 erschienenes Buch </w:t>
      </w:r>
      <w:r>
        <w:rPr>
          <w:i/>
        </w:rPr>
        <w:t xml:space="preserve">DPT: A Shot in the Dark </w:t>
      </w:r>
      <w:r>
        <w:t>von Coulter und Fisher wurde die fragwürdige Sicherheit und Wirksamkeit des Impfstoffs beschrieben, der in</w:t>
      </w:r>
      <w:r>
        <w:rPr>
          <w:spacing w:val="-2"/>
        </w:rPr>
        <w:t xml:space="preserve"> </w:t>
      </w:r>
      <w:r>
        <w:rPr>
          <w:spacing w:val="-6"/>
        </w:rPr>
        <w:t>der</w:t>
      </w:r>
    </w:p>
    <w:p w14:paraId="241AF512" w14:textId="77777777" w:rsidR="00EC4803" w:rsidRDefault="00000000">
      <w:pPr>
        <w:pStyle w:val="Textkrper"/>
        <w:spacing w:before="3" w:line="242" w:lineRule="auto"/>
        <w:ind w:left="112" w:right="5219"/>
        <w:jc w:val="both"/>
      </w:pPr>
      <w:r>
        <w:t>1996 in den USA durch eine azelluläre Version (DtaP) ersetzt.</w:t>
      </w:r>
    </w:p>
    <w:p w14:paraId="39387F24" w14:textId="77777777" w:rsidR="00EC4803" w:rsidRDefault="00EC4803">
      <w:pPr>
        <w:pStyle w:val="Textkrper"/>
        <w:spacing w:before="6"/>
      </w:pPr>
    </w:p>
    <w:p w14:paraId="47726C7B" w14:textId="77777777" w:rsidR="00EC4803" w:rsidRDefault="00000000">
      <w:pPr>
        <w:pStyle w:val="Textkrper"/>
        <w:spacing w:line="242" w:lineRule="auto"/>
        <w:ind w:left="112" w:right="5132"/>
        <w:jc w:val="both"/>
      </w:pPr>
      <w:r>
        <w:t xml:space="preserve">Kürzlich wurden in Kalifornien Ausbrüche von Keuchhusten durch B. pertussis sowohl bei geimpften </w:t>
      </w:r>
      <w:r>
        <w:rPr>
          <w:spacing w:val="-4"/>
        </w:rPr>
        <w:t xml:space="preserve">als </w:t>
      </w:r>
      <w:r>
        <w:rPr>
          <w:spacing w:val="-5"/>
        </w:rPr>
        <w:t>auch</w:t>
      </w:r>
      <w:r>
        <w:rPr>
          <w:spacing w:val="-17"/>
        </w:rPr>
        <w:t xml:space="preserve"> </w:t>
      </w:r>
      <w:r>
        <w:rPr>
          <w:spacing w:val="-4"/>
        </w:rPr>
        <w:t>bei</w:t>
      </w:r>
    </w:p>
    <w:p w14:paraId="0BB893D0" w14:textId="77777777" w:rsidR="00EC4803" w:rsidRDefault="00000000">
      <w:pPr>
        <w:pStyle w:val="Textkrper"/>
        <w:spacing w:before="3" w:line="242" w:lineRule="auto"/>
        <w:ind w:left="112" w:right="111"/>
        <w:jc w:val="both"/>
      </w:pPr>
      <w:r>
        <w:t>ungeimpfte Kinder und Erwachsene. Tatsächlich waren im Jahr 2010 die meisten bestätigten oder vermuteten Keuchhustenfälle bei geimpften Personen aufgetreten. In einem augenöffnenden Bericht stellte das Watchdog Institute fest, dass die Immunität gegen DtaP-Impfstoff nur etwa drei Jahre anhält.</w:t>
      </w:r>
    </w:p>
    <w:p w14:paraId="430B3FF8" w14:textId="77777777" w:rsidR="00EC4803" w:rsidRDefault="00EC4803">
      <w:pPr>
        <w:pStyle w:val="Textkrper"/>
        <w:spacing w:before="5"/>
      </w:pPr>
    </w:p>
    <w:p w14:paraId="21A1E9C8" w14:textId="77777777" w:rsidR="00EC4803" w:rsidRDefault="00000000">
      <w:pPr>
        <w:pStyle w:val="Textkrper"/>
        <w:spacing w:before="1" w:line="242" w:lineRule="auto"/>
        <w:ind w:left="112" w:right="110"/>
        <w:jc w:val="both"/>
      </w:pPr>
      <w:r>
        <w:t>Darüber hinaus gibt es Hinweise darauf, dass sich der Keuchhustenerreger so entwickelt hat, dass er gegen den Impfstoff resistent ist, was ein weiterer wichtiger Grund für den Anstieg der gemeldeten Fälle von Keuchhusten ist. Der DtaP-Impfstoff soll zwar weniger reaktiv sein, kann aber dennoch bei einigen Personen eine Gehirnentzündung und Hirnschäden verursachen.</w:t>
      </w:r>
    </w:p>
    <w:p w14:paraId="5B926B95" w14:textId="77777777" w:rsidR="00EC4803" w:rsidRDefault="00EC4803">
      <w:pPr>
        <w:pStyle w:val="Textkrper"/>
        <w:rPr>
          <w:sz w:val="23"/>
        </w:rPr>
      </w:pPr>
    </w:p>
    <w:p w14:paraId="1B360960" w14:textId="77777777" w:rsidR="00EC4803" w:rsidRDefault="00000000">
      <w:pPr>
        <w:pStyle w:val="berschrift1"/>
        <w:ind w:right="510"/>
      </w:pPr>
      <w:bookmarkStart w:id="0" w:name="Aussagekräftiges_Profil_eines_Keuchhuste"/>
      <w:bookmarkEnd w:id="0"/>
      <w:r>
        <w:rPr>
          <w:spacing w:val="-3"/>
        </w:rPr>
        <w:t>Aussagekräftiges</w:t>
      </w:r>
      <w:r>
        <w:rPr>
          <w:spacing w:val="-57"/>
        </w:rPr>
        <w:t xml:space="preserve"> </w:t>
      </w:r>
      <w:r>
        <w:rPr>
          <w:spacing w:val="-3"/>
        </w:rPr>
        <w:t>Profil</w:t>
      </w:r>
      <w:r>
        <w:rPr>
          <w:spacing w:val="-57"/>
        </w:rPr>
        <w:t xml:space="preserve"> </w:t>
      </w:r>
      <w:r>
        <w:t>eines</w:t>
      </w:r>
      <w:r>
        <w:rPr>
          <w:spacing w:val="-56"/>
        </w:rPr>
        <w:t xml:space="preserve"> </w:t>
      </w:r>
      <w:r>
        <w:rPr>
          <w:spacing w:val="-3"/>
        </w:rPr>
        <w:t>Keuchhusten-Impfstoff-Opfers</w:t>
      </w:r>
    </w:p>
    <w:p w14:paraId="03125DFA" w14:textId="77777777" w:rsidR="00EC4803" w:rsidRDefault="00EC4803">
      <w:pPr>
        <w:pStyle w:val="Textkrper"/>
        <w:spacing w:before="8"/>
        <w:rPr>
          <w:rFonts w:ascii="Carlito"/>
          <w:sz w:val="27"/>
        </w:rPr>
      </w:pPr>
    </w:p>
    <w:p w14:paraId="72ABF8D7" w14:textId="77777777" w:rsidR="00EC4803" w:rsidRDefault="00000000">
      <w:pPr>
        <w:pStyle w:val="Textkrper"/>
        <w:spacing w:line="242" w:lineRule="auto"/>
        <w:ind w:left="112" w:right="107"/>
        <w:jc w:val="both"/>
      </w:pPr>
      <w:r>
        <w:t>Zwar sind Säuglinge und Kleinkinder am stärksten gefährdet, doch ist niemand von den möglichen schwerwiegenden Komplikationen einer Impfung ausgenommen, zu denen auch Gehirnentzündungen nach einer DPT- oder DtaP-Impfung gehören. In dem oben gezeigten Video über Keuchhusten-Impfschäden interviewt Barbara Loe Fisher, Mitbegründerin und Präsidentin des gemeinnützigen National Vaccine Information Center (NVIC), eine Familie in Houston, in der es seit drei Generationen zu Impfreaktionen gekommen ist. Jetzt ist ein 12-jähriges Kind der Familie aufgrund einer Reaktion auf den DtaP-Impfstoff, der ihr zusammen mit sechs anderen Impfstoffen im Alter von 15 Monaten verabreicht wurde, dauerhaft</w:t>
      </w:r>
      <w:r>
        <w:rPr>
          <w:spacing w:val="-2"/>
        </w:rPr>
        <w:t xml:space="preserve"> </w:t>
      </w:r>
      <w:r>
        <w:t>behindert.</w:t>
      </w:r>
    </w:p>
    <w:p w14:paraId="4A7632B7" w14:textId="77777777" w:rsidR="00EC4803" w:rsidRDefault="00EC4803">
      <w:pPr>
        <w:pStyle w:val="Textkrper"/>
        <w:spacing w:before="11"/>
      </w:pPr>
    </w:p>
    <w:p w14:paraId="33846289" w14:textId="77777777" w:rsidR="00EC4803" w:rsidRDefault="00000000">
      <w:pPr>
        <w:pStyle w:val="Textkrper"/>
        <w:spacing w:line="242" w:lineRule="auto"/>
        <w:ind w:left="112" w:right="109"/>
        <w:jc w:val="both"/>
      </w:pPr>
      <w:r>
        <w:t>Diese Familie hat sich entschlossen, ihre herzzerreißende Geschichte zu erzählen, um denjenigen, die die gleiche Erfahrung gemacht haben, zu helfen, sich weniger allein zu</w:t>
      </w:r>
    </w:p>
    <w:p w14:paraId="78C4E341" w14:textId="77777777" w:rsidR="00EC4803" w:rsidRDefault="00EC4803">
      <w:pPr>
        <w:spacing w:line="242" w:lineRule="auto"/>
        <w:jc w:val="both"/>
        <w:sectPr w:rsidR="00EC4803">
          <w:footerReference w:type="default" r:id="rId9"/>
          <w:type w:val="continuous"/>
          <w:pgSz w:w="11910" w:h="16840"/>
          <w:pgMar w:top="0" w:right="1020" w:bottom="1080" w:left="1020" w:header="720" w:footer="881" w:gutter="0"/>
          <w:pgNumType w:start="1"/>
          <w:cols w:space="720"/>
        </w:sectPr>
      </w:pPr>
    </w:p>
    <w:p w14:paraId="344F2B60" w14:textId="77777777" w:rsidR="00EC4803" w:rsidRDefault="00000000">
      <w:pPr>
        <w:pStyle w:val="Textkrper"/>
        <w:spacing w:before="80" w:line="242" w:lineRule="auto"/>
        <w:ind w:left="112" w:right="112"/>
        <w:jc w:val="both"/>
      </w:pPr>
      <w:r>
        <w:lastRenderedPageBreak/>
        <w:t>fühlen, und um andere darüber aufzuklären, was es bedeutet, einen Impfschaden zu erleiden. Was dieser Familie widerfahren ist, ist eine eindringliche Erinnerung daran, wie wichtig es ist, gut informierte Entscheidungen über Impfungen zu treffen.</w:t>
      </w:r>
    </w:p>
    <w:p w14:paraId="5C3FD7F7" w14:textId="77777777" w:rsidR="00EC4803" w:rsidRDefault="00EC4803">
      <w:pPr>
        <w:pStyle w:val="Textkrper"/>
        <w:rPr>
          <w:sz w:val="20"/>
        </w:rPr>
      </w:pPr>
    </w:p>
    <w:p w14:paraId="184D139F" w14:textId="77777777" w:rsidR="00EC4803" w:rsidRDefault="00EC4803">
      <w:pPr>
        <w:pStyle w:val="Textkrper"/>
        <w:rPr>
          <w:sz w:val="20"/>
        </w:rPr>
      </w:pPr>
    </w:p>
    <w:p w14:paraId="5FF67C06" w14:textId="77777777" w:rsidR="00EC4803" w:rsidRDefault="00EC4803">
      <w:pPr>
        <w:pStyle w:val="Textkrper"/>
        <w:rPr>
          <w:sz w:val="20"/>
        </w:rPr>
      </w:pPr>
    </w:p>
    <w:p w14:paraId="0E00D40A" w14:textId="77777777" w:rsidR="00EC4803" w:rsidRDefault="00EC4803">
      <w:pPr>
        <w:pStyle w:val="Textkrper"/>
        <w:rPr>
          <w:sz w:val="20"/>
        </w:rPr>
      </w:pPr>
    </w:p>
    <w:p w14:paraId="50D33FA6" w14:textId="77777777" w:rsidR="00EC4803" w:rsidRDefault="00000000">
      <w:pPr>
        <w:pStyle w:val="Textkrper"/>
        <w:spacing w:before="1"/>
        <w:rPr>
          <w:sz w:val="23"/>
        </w:rPr>
      </w:pPr>
      <w:r>
        <w:pict w14:anchorId="4C7E4729">
          <v:shape id="_x0000_s2050" style="position:absolute;margin-left:56.7pt;margin-top:15.5pt;width:100pt;height:.1pt;z-index:-15727104;mso-wrap-distance-left:0;mso-wrap-distance-right:0;mso-position-horizontal-relative:page" coordorigin="1134,310" coordsize="2000,0" path="m1134,310r2000,e" filled="f" strokeweight=".5pt">
            <v:path arrowok="t"/>
            <w10:wrap type="topAndBottom" anchorx="page"/>
          </v:shape>
        </w:pict>
      </w:r>
    </w:p>
    <w:p w14:paraId="533DB01A" w14:textId="77777777" w:rsidR="00EC4803" w:rsidRDefault="00000000">
      <w:pPr>
        <w:pStyle w:val="Textkrper"/>
        <w:spacing w:before="112"/>
        <w:ind w:left="112"/>
        <w:jc w:val="both"/>
        <w:rPr>
          <w:rFonts w:ascii="Caladea"/>
        </w:rPr>
      </w:pPr>
      <w:r>
        <w:rPr>
          <w:rFonts w:ascii="Caladea"/>
          <w:position w:val="8"/>
          <w:sz w:val="16"/>
        </w:rPr>
        <w:t xml:space="preserve">1 </w:t>
      </w:r>
      <w:r>
        <w:rPr>
          <w:rFonts w:ascii="Caladea"/>
        </w:rPr>
        <w:t xml:space="preserve">Artikel entnommen aus </w:t>
      </w:r>
      <w:hyperlink r:id="rId10">
        <w:r>
          <w:rPr>
            <w:rFonts w:ascii="Caladea"/>
            <w:color w:val="0433FF"/>
          </w:rPr>
          <w:t>http://www.mercola.com/</w:t>
        </w:r>
      </w:hyperlink>
    </w:p>
    <w:p w14:paraId="0099A566" w14:textId="77777777" w:rsidR="00EC4803" w:rsidRDefault="00EC4803">
      <w:pPr>
        <w:jc w:val="both"/>
        <w:rPr>
          <w:rFonts w:ascii="Caladea"/>
        </w:rPr>
        <w:sectPr w:rsidR="00EC4803">
          <w:pgSz w:w="11910" w:h="16840"/>
          <w:pgMar w:top="960" w:right="1020" w:bottom="1080" w:left="1020" w:header="0" w:footer="881" w:gutter="0"/>
          <w:cols w:space="720"/>
        </w:sectPr>
      </w:pPr>
    </w:p>
    <w:p w14:paraId="216AE644" w14:textId="77777777" w:rsidR="00EC4803" w:rsidRDefault="00000000">
      <w:pPr>
        <w:pStyle w:val="berschrift1"/>
        <w:spacing w:before="16"/>
        <w:ind w:left="512"/>
      </w:pPr>
      <w:bookmarkStart w:id="1" w:name="Berichte_über_Todesfälle_bei_Säuglingen_"/>
      <w:bookmarkEnd w:id="1"/>
      <w:r>
        <w:rPr>
          <w:w w:val="90"/>
        </w:rPr>
        <w:lastRenderedPageBreak/>
        <w:t xml:space="preserve">Berichte über Todesfälle bei Säuglingen nach der DTP-Impfung in </w:t>
      </w:r>
      <w:r>
        <w:t>Afrika</w:t>
      </w:r>
    </w:p>
    <w:p w14:paraId="1D1078A0" w14:textId="77777777" w:rsidR="00EC4803" w:rsidRDefault="00000000">
      <w:pPr>
        <w:pStyle w:val="Textkrper"/>
        <w:spacing w:before="320" w:line="242" w:lineRule="auto"/>
        <w:ind w:left="112" w:right="112"/>
        <w:jc w:val="both"/>
      </w:pPr>
      <w:r>
        <w:t>Wie in Barbaras Video besprochen, können Impfstoffreaktionen in der Familie vorkommen, so dass manche Menschen anfälliger für Schäden sind als andere. Möglicherweise gibt es sogar Unterschiede zwischen den Geschlechtern im Allgemeinen. Wir wissen es nicht genau, denn nur wenige Studien haben sich mit solchen Details befasst.</w:t>
      </w:r>
    </w:p>
    <w:p w14:paraId="1BF060C4" w14:textId="77777777" w:rsidR="00EC4803" w:rsidRDefault="00EC4803">
      <w:pPr>
        <w:pStyle w:val="Textkrper"/>
        <w:spacing w:before="7"/>
      </w:pPr>
    </w:p>
    <w:p w14:paraId="6FBCF7BC" w14:textId="77777777" w:rsidR="00EC4803" w:rsidRDefault="00000000">
      <w:pPr>
        <w:pStyle w:val="Textkrper"/>
        <w:spacing w:line="242" w:lineRule="auto"/>
        <w:ind w:left="112" w:right="109"/>
        <w:jc w:val="both"/>
      </w:pPr>
      <w:r>
        <w:t xml:space="preserve">Eine Reihe von Beobachtungsstudien deutet jedoch darauf hin, dass viele weibliche Säuglinge in Afrika im Alter von unter 12 Monaten an den "unspezifischen" Auswirkungen der Impfung mit Diphtherie-Tetanus-Toxoiden und abgetöteten (Ganzzell-)Bordetella pertussis (DTwP) sterben. Dies geht aus einer aktuellen dänischen </w:t>
      </w:r>
      <w:r>
        <w:rPr>
          <w:color w:val="021EAA"/>
        </w:rPr>
        <w:t>Studie hervor, die im Journal of Tropical Medicine veröffentlicht wurde</w:t>
      </w:r>
      <w:r>
        <w:t>:</w:t>
      </w:r>
    </w:p>
    <w:p w14:paraId="3F78D627" w14:textId="77777777" w:rsidR="00EC4803" w:rsidRDefault="00EC4803">
      <w:pPr>
        <w:pStyle w:val="Textkrper"/>
        <w:spacing w:before="7"/>
      </w:pPr>
    </w:p>
    <w:p w14:paraId="19BC7927" w14:textId="77777777" w:rsidR="00EC4803" w:rsidRDefault="00000000">
      <w:pPr>
        <w:spacing w:line="242" w:lineRule="auto"/>
        <w:ind w:left="680" w:right="676"/>
        <w:jc w:val="both"/>
        <w:rPr>
          <w:i/>
          <w:sz w:val="24"/>
        </w:rPr>
      </w:pPr>
      <w:r>
        <w:rPr>
          <w:i/>
          <w:sz w:val="24"/>
        </w:rPr>
        <w:t>"Aus immunologischer Sicht stellen wir die Hypothese auf, dass die unerwünschten Wirkungen des DTwP-Impfstoffs auf die Th2-polarisierende Wirkung des Aluminiumphosphat-Adjuvans im Impfstoff zurückzuführen sind und dass die intramuskuläre Verabreichung des Impfstoffs eine chronische Entzündung an der Injektionsstelle verursachen kann ... Der Geschlechtsdimorphismus [geschlechtsspezifische Unterschiede], der die Immunfunktionen und die Vitamin-A-Supplementierung beeinflusst, kann  sowohl die schädlichen als auch die nützlichen unspezifischen Wirkungen der Impfung</w:t>
      </w:r>
      <w:r>
        <w:rPr>
          <w:i/>
          <w:spacing w:val="-2"/>
          <w:sz w:val="24"/>
        </w:rPr>
        <w:t xml:space="preserve"> </w:t>
      </w:r>
      <w:r>
        <w:rPr>
          <w:i/>
          <w:sz w:val="24"/>
        </w:rPr>
        <w:t>beeinflussen."</w:t>
      </w:r>
    </w:p>
    <w:p w14:paraId="6E807E9E" w14:textId="77777777" w:rsidR="00EC4803" w:rsidRDefault="00EC4803">
      <w:pPr>
        <w:pStyle w:val="Textkrper"/>
        <w:rPr>
          <w:i/>
          <w:sz w:val="25"/>
        </w:rPr>
      </w:pPr>
    </w:p>
    <w:p w14:paraId="52866F1B" w14:textId="77777777" w:rsidR="00EC4803" w:rsidRDefault="00000000">
      <w:pPr>
        <w:pStyle w:val="berschrift1"/>
        <w:spacing w:line="261" w:lineRule="auto"/>
        <w:ind w:left="2054" w:right="2050" w:hanging="3"/>
      </w:pPr>
      <w:bookmarkStart w:id="2" w:name="Frühere_Studien_zeigen_auch_eine_erhöhte"/>
      <w:bookmarkEnd w:id="2"/>
      <w:r>
        <w:rPr>
          <w:w w:val="90"/>
        </w:rPr>
        <w:t>Frühere Studien zeigen auch eine erhöhte Säuglingssterblichkeit durch DTP-Impfstoffe</w:t>
      </w:r>
    </w:p>
    <w:p w14:paraId="0A613475" w14:textId="77777777" w:rsidR="00EC4803" w:rsidRDefault="00000000">
      <w:pPr>
        <w:pStyle w:val="Textkrper"/>
        <w:spacing w:before="277" w:line="242" w:lineRule="auto"/>
        <w:ind w:left="112" w:right="105"/>
        <w:jc w:val="both"/>
      </w:pPr>
      <w:r>
        <w:t xml:space="preserve">In diesem Sommer habe ich einen Bericht über die Forschungen von Dr. Peter Aaby veröffentlicht, der seit mehr als 30 Jahren die Ursachen der </w:t>
      </w:r>
      <w:r>
        <w:rPr>
          <w:color w:val="021EAA"/>
          <w:u w:val="single" w:color="021EAA"/>
        </w:rPr>
        <w:t>übermäßig hohen</w:t>
      </w:r>
      <w:r>
        <w:rPr>
          <w:color w:val="021EAA"/>
        </w:rPr>
        <w:t xml:space="preserve"> </w:t>
      </w:r>
      <w:r>
        <w:rPr>
          <w:color w:val="021EAA"/>
          <w:u w:val="single" w:color="021EAA"/>
        </w:rPr>
        <w:t xml:space="preserve">Kindersterblichkeit in Guinea-Bissau </w:t>
      </w:r>
      <w:r>
        <w:t>untersucht. Seine Forschungsergebnisse wurden in Dutzenden von Fachzeitschriften veröffentlicht, doch nur wenige nehmen sie zur Kenntnis. Dr. Aaby, der über ein Archiv mit mehr als 1 Million Forschungsunterlagen verfügt, hat mehrere Arbeiten veröffentlicht, die die Sicherheit des DTP-Impfstoffs (Diphtherie-Tetanus- Pertussis) in Frage stellen.</w:t>
      </w:r>
    </w:p>
    <w:p w14:paraId="4E261138" w14:textId="77777777" w:rsidR="00EC4803" w:rsidRDefault="00EC4803">
      <w:pPr>
        <w:pStyle w:val="Textkrper"/>
        <w:spacing w:before="9"/>
      </w:pPr>
    </w:p>
    <w:p w14:paraId="256F6B56" w14:textId="77777777" w:rsidR="00EC4803" w:rsidRDefault="00000000">
      <w:pPr>
        <w:pStyle w:val="Textkrper"/>
        <w:spacing w:before="1" w:line="242" w:lineRule="auto"/>
        <w:ind w:left="112" w:right="110"/>
        <w:jc w:val="both"/>
      </w:pPr>
      <w:r>
        <w:t>Allein in den letzten zehn Jahren hat er 34 Arbeiten veröffentlicht, die alle die Sicherheit des DTP-Impfstoffs in Frage stellen. (Zur Klarstellung: DTP ist der ältere Ganzzellimpfstoff gegen Keuchhusten, der mit einer hohen Zahl von Fällen von Krämpfen, Gehirnentzündungen und dauerhaften Hirnschäden in Verbindung gebracht wird und in den USA 1996 durch den DTaP-Impfstoff ersetzt wurde). Die Studien von Dr. Aaby über den DTP-Impfstoff, der Säuglingen in Guinea-Bissau verabreicht wurde, zeigten Folgendes:</w:t>
      </w:r>
    </w:p>
    <w:p w14:paraId="3E757B7D" w14:textId="77777777" w:rsidR="00EC4803" w:rsidRDefault="00EC4803">
      <w:pPr>
        <w:pStyle w:val="Textkrper"/>
        <w:spacing w:before="3"/>
        <w:rPr>
          <w:sz w:val="33"/>
        </w:rPr>
      </w:pPr>
    </w:p>
    <w:p w14:paraId="3C0F3B8F" w14:textId="77777777" w:rsidR="00EC4803" w:rsidRDefault="00000000">
      <w:pPr>
        <w:pStyle w:val="Listenabsatz"/>
        <w:numPr>
          <w:ilvl w:val="0"/>
          <w:numId w:val="1"/>
        </w:numPr>
        <w:tabs>
          <w:tab w:val="left" w:pos="828"/>
        </w:tabs>
        <w:spacing w:line="242" w:lineRule="auto"/>
        <w:ind w:right="334"/>
        <w:rPr>
          <w:sz w:val="24"/>
        </w:rPr>
      </w:pPr>
      <w:r>
        <w:rPr>
          <w:sz w:val="24"/>
        </w:rPr>
        <w:t>Eine einzige Dosis des DTP-Impfstoffs verdoppelte nicht nur die Sterblichkeitsrate bei Säuglingen, sondern vervierfachte die Sterblichkeitsrate nach der zweiten und dritten DTP-Dosis mehr</w:t>
      </w:r>
      <w:r>
        <w:rPr>
          <w:spacing w:val="-2"/>
          <w:sz w:val="24"/>
        </w:rPr>
        <w:t xml:space="preserve"> </w:t>
      </w:r>
      <w:r>
        <w:rPr>
          <w:sz w:val="24"/>
        </w:rPr>
        <w:t>als.</w:t>
      </w:r>
    </w:p>
    <w:p w14:paraId="2F6CABED" w14:textId="77777777" w:rsidR="00EC4803" w:rsidRDefault="00000000">
      <w:pPr>
        <w:pStyle w:val="Listenabsatz"/>
        <w:numPr>
          <w:ilvl w:val="0"/>
          <w:numId w:val="1"/>
        </w:numPr>
        <w:tabs>
          <w:tab w:val="left" w:pos="828"/>
        </w:tabs>
        <w:spacing w:before="101" w:line="242" w:lineRule="auto"/>
        <w:ind w:right="528"/>
        <w:rPr>
          <w:sz w:val="24"/>
        </w:rPr>
      </w:pPr>
      <w:r>
        <w:rPr>
          <w:sz w:val="24"/>
        </w:rPr>
        <w:t xml:space="preserve">Die Kombination von DTP- und </w:t>
      </w:r>
      <w:r>
        <w:rPr>
          <w:spacing w:val="-3"/>
          <w:sz w:val="24"/>
        </w:rPr>
        <w:t xml:space="preserve">Masernimpfstoffen </w:t>
      </w:r>
      <w:r>
        <w:rPr>
          <w:sz w:val="24"/>
        </w:rPr>
        <w:t>birgt für Mädchen definitiv ein erhöhtes</w:t>
      </w:r>
      <w:r>
        <w:rPr>
          <w:spacing w:val="-2"/>
          <w:sz w:val="24"/>
        </w:rPr>
        <w:t xml:space="preserve"> </w:t>
      </w:r>
      <w:r>
        <w:rPr>
          <w:sz w:val="24"/>
        </w:rPr>
        <w:t>Sterberisiko.</w:t>
      </w:r>
    </w:p>
    <w:p w14:paraId="770C67CE" w14:textId="77777777" w:rsidR="00EC4803" w:rsidRDefault="00EC4803">
      <w:pPr>
        <w:spacing w:line="242" w:lineRule="auto"/>
        <w:jc w:val="both"/>
        <w:rPr>
          <w:sz w:val="24"/>
        </w:rPr>
        <w:sectPr w:rsidR="00EC4803">
          <w:pgSz w:w="11910" w:h="16840"/>
          <w:pgMar w:top="1100" w:right="1020" w:bottom="1080" w:left="1020" w:header="0" w:footer="881" w:gutter="0"/>
          <w:cols w:space="720"/>
        </w:sectPr>
      </w:pPr>
    </w:p>
    <w:p w14:paraId="31F73955" w14:textId="77777777" w:rsidR="00EC4803" w:rsidRDefault="00000000">
      <w:pPr>
        <w:pStyle w:val="Textkrper"/>
        <w:spacing w:before="81" w:line="242" w:lineRule="auto"/>
        <w:ind w:left="112" w:right="111"/>
        <w:jc w:val="both"/>
      </w:pPr>
      <w:r>
        <w:lastRenderedPageBreak/>
        <w:t>Wie in der oben erwähnten dänischen Studie wurde außerdem festgestellt, dass eine Vitamin-A-Ergänzung die Sterblichkeit beeinflusst. Dr. Aaby fand heraus, dass Mädchen ein um 41 Prozent höheres Sterberisiko hatten, wenn sie bei der Geburt mit Vitamin A versorgt wurden, während Jungen offenbar nur einen geringen Nutzen aus der Ergänzung zogen.</w:t>
      </w:r>
    </w:p>
    <w:p w14:paraId="745F3024" w14:textId="77777777" w:rsidR="00EC4803" w:rsidRDefault="00EC4803">
      <w:pPr>
        <w:spacing w:line="242" w:lineRule="auto"/>
        <w:jc w:val="both"/>
        <w:sectPr w:rsidR="00EC4803">
          <w:pgSz w:w="11910" w:h="16840"/>
          <w:pgMar w:top="1340" w:right="1020" w:bottom="1080" w:left="1020" w:header="0" w:footer="881" w:gutter="0"/>
          <w:cols w:space="720"/>
        </w:sectPr>
      </w:pPr>
    </w:p>
    <w:p w14:paraId="02C6D31D" w14:textId="77777777" w:rsidR="00EC4803" w:rsidRDefault="00000000">
      <w:pPr>
        <w:pStyle w:val="Textkrper"/>
        <w:spacing w:before="76" w:line="242" w:lineRule="auto"/>
        <w:ind w:left="112" w:right="110"/>
        <w:jc w:val="both"/>
      </w:pPr>
      <w:r>
        <w:lastRenderedPageBreak/>
        <w:t xml:space="preserve">Zusammengenommen zeigen </w:t>
      </w:r>
      <w:r>
        <w:rPr>
          <w:color w:val="021EAA"/>
          <w:u w:val="single" w:color="021EAA"/>
        </w:rPr>
        <w:t xml:space="preserve">die dänische Studie </w:t>
      </w:r>
      <w:r>
        <w:t xml:space="preserve">und die </w:t>
      </w:r>
      <w:r>
        <w:rPr>
          <w:color w:val="021EAA"/>
          <w:u w:val="single" w:color="021EAA"/>
        </w:rPr>
        <w:t>Arbeit von Dr. Aaby</w:t>
      </w:r>
      <w:r>
        <w:t>, dass es Unterschiede zwischen den Geschlechtern gibt, die völlig außer Acht gelassen werden, und dass Impfstoffe allein oder in Verbindung mit einer Vitaminsupplementierung sehr unterschiedliche Auswirkungen auf Mädchen und Jungen haben können.</w:t>
      </w:r>
    </w:p>
    <w:p w14:paraId="209DA0BB" w14:textId="77777777" w:rsidR="00EC4803" w:rsidRDefault="00EC4803">
      <w:pPr>
        <w:pStyle w:val="Textkrper"/>
        <w:spacing w:before="8"/>
      </w:pPr>
    </w:p>
    <w:p w14:paraId="5A2BEB51" w14:textId="77777777" w:rsidR="00EC4803" w:rsidRDefault="00000000">
      <w:pPr>
        <w:pStyle w:val="berschrift1"/>
      </w:pPr>
      <w:bookmarkStart w:id="3" w:name="DPT-Ganzzellimpfstoff_und_Enzephalopathi"/>
      <w:bookmarkEnd w:id="3"/>
      <w:r>
        <w:rPr>
          <w:w w:val="90"/>
        </w:rPr>
        <w:t>DPT-Ganzzellimpfstoff und Enzephalopathie</w:t>
      </w:r>
    </w:p>
    <w:p w14:paraId="61EF7AE9" w14:textId="77777777" w:rsidR="00EC4803" w:rsidRDefault="00000000">
      <w:pPr>
        <w:pStyle w:val="Textkrper"/>
        <w:spacing w:before="318" w:line="242" w:lineRule="auto"/>
        <w:ind w:left="112" w:right="108"/>
        <w:jc w:val="both"/>
      </w:pPr>
      <w:r>
        <w:t xml:space="preserve">In dem bahnbrechenden Buch </w:t>
      </w:r>
      <w:r>
        <w:rPr>
          <w:i/>
        </w:rPr>
        <w:t xml:space="preserve">DPT: A Shot in the Dark </w:t>
      </w:r>
      <w:r>
        <w:t>von Harris Coulter und Barbara Loe Fisher beschrieben die Autoren die Inhaltsstoffe des Keuchhusten-Vollimpfstoffs (DPT), der eine Reihe toxischer Komponenten enthält, wobei das bioaktive Pertussistoxin (PT) und das Endotoxin zu den tödlichsten gehören. Das Pertussis-Toxin ist der Bestandteil, der als Hauptverantwortlicher für die am meisten gefürchtete Komplikation  von B. pertussis (Keuchhusten) und dem Pertussis-Impfstoff gilt: die Gehirnentzündung (Enzephalitis).</w:t>
      </w:r>
    </w:p>
    <w:p w14:paraId="3B4B197B" w14:textId="77777777" w:rsidR="00EC4803" w:rsidRDefault="00EC4803">
      <w:pPr>
        <w:pStyle w:val="Textkrper"/>
        <w:spacing w:before="8"/>
      </w:pPr>
    </w:p>
    <w:p w14:paraId="4B1D5F8C" w14:textId="77777777" w:rsidR="00EC4803" w:rsidRDefault="00000000">
      <w:pPr>
        <w:pStyle w:val="Textkrper"/>
        <w:spacing w:before="1" w:line="242" w:lineRule="auto"/>
        <w:ind w:left="112" w:right="99"/>
        <w:jc w:val="both"/>
      </w:pPr>
      <w:r>
        <w:t xml:space="preserve">Hirnentzündungen und dauerhafte Hirnschäden wurden mit dem Ganzzellimpfstoff gegen Keuchhusten in Verbindung gebracht, seit er in den 1920er Jahren in den USA und Europa eingesetzt wurde. </w:t>
      </w:r>
      <w:r>
        <w:rPr>
          <w:spacing w:val="8"/>
        </w:rPr>
        <w:t xml:space="preserve">Pertussis-Toxin </w:t>
      </w:r>
      <w:r>
        <w:t xml:space="preserve">wird </w:t>
      </w:r>
      <w:r>
        <w:rPr>
          <w:spacing w:val="7"/>
        </w:rPr>
        <w:t xml:space="preserve">immer noch </w:t>
      </w:r>
      <w:r>
        <w:t xml:space="preserve">in </w:t>
      </w:r>
      <w:r>
        <w:rPr>
          <w:spacing w:val="6"/>
        </w:rPr>
        <w:t xml:space="preserve">Labors </w:t>
      </w:r>
      <w:r>
        <w:rPr>
          <w:spacing w:val="7"/>
        </w:rPr>
        <w:t xml:space="preserve">verwendet, </w:t>
      </w:r>
      <w:r>
        <w:t xml:space="preserve">um bei Versuchstieren </w:t>
      </w:r>
      <w:r>
        <w:rPr>
          <w:spacing w:val="9"/>
        </w:rPr>
        <w:t xml:space="preserve">absichtlich </w:t>
      </w:r>
      <w:r>
        <w:rPr>
          <w:spacing w:val="7"/>
        </w:rPr>
        <w:t xml:space="preserve">eine </w:t>
      </w:r>
      <w:r>
        <w:rPr>
          <w:spacing w:val="9"/>
        </w:rPr>
        <w:t xml:space="preserve">experimentelle autoimmune </w:t>
      </w:r>
      <w:r>
        <w:t xml:space="preserve">Enzephalomyelitis (EAE) </w:t>
      </w:r>
      <w:r>
        <w:rPr>
          <w:spacing w:val="8"/>
        </w:rPr>
        <w:t xml:space="preserve">auszulösen. </w:t>
      </w:r>
      <w:r>
        <w:t>Ein weiteres Toxin im Ganzzellimpfstoff gegen Keuchhusten - Endotoxin - kann bei Menschen und Tieren zu Schock und Tod</w:t>
      </w:r>
      <w:r>
        <w:rPr>
          <w:spacing w:val="-9"/>
        </w:rPr>
        <w:t xml:space="preserve"> </w:t>
      </w:r>
      <w:r>
        <w:t>führen.</w:t>
      </w:r>
    </w:p>
    <w:p w14:paraId="40E74BDC" w14:textId="77777777" w:rsidR="00EC4803" w:rsidRDefault="00EC4803">
      <w:pPr>
        <w:pStyle w:val="Textkrper"/>
        <w:spacing w:before="10"/>
      </w:pPr>
    </w:p>
    <w:p w14:paraId="04561423" w14:textId="77777777" w:rsidR="00EC4803" w:rsidRDefault="00000000">
      <w:pPr>
        <w:pStyle w:val="berschrift1"/>
      </w:pPr>
      <w:bookmarkStart w:id="4" w:name="Gefährliche_Konservierungsstoffe_und_Bes"/>
      <w:bookmarkEnd w:id="4"/>
      <w:r>
        <w:rPr>
          <w:w w:val="90"/>
        </w:rPr>
        <w:t>Gefährliche</w:t>
      </w:r>
      <w:r>
        <w:rPr>
          <w:spacing w:val="-33"/>
          <w:w w:val="90"/>
        </w:rPr>
        <w:t xml:space="preserve"> </w:t>
      </w:r>
      <w:r>
        <w:rPr>
          <w:w w:val="90"/>
        </w:rPr>
        <w:t>Konservierungsstoffe</w:t>
      </w:r>
      <w:r>
        <w:rPr>
          <w:spacing w:val="-31"/>
          <w:w w:val="90"/>
        </w:rPr>
        <w:t xml:space="preserve"> </w:t>
      </w:r>
      <w:r>
        <w:rPr>
          <w:w w:val="90"/>
        </w:rPr>
        <w:t>und</w:t>
      </w:r>
      <w:r>
        <w:rPr>
          <w:spacing w:val="-31"/>
          <w:w w:val="90"/>
        </w:rPr>
        <w:t xml:space="preserve"> </w:t>
      </w:r>
      <w:r>
        <w:rPr>
          <w:w w:val="90"/>
        </w:rPr>
        <w:t>Bestandteile:</w:t>
      </w:r>
      <w:r>
        <w:rPr>
          <w:spacing w:val="-45"/>
          <w:w w:val="90"/>
        </w:rPr>
        <w:t xml:space="preserve"> </w:t>
      </w:r>
      <w:r>
        <w:rPr>
          <w:w w:val="90"/>
        </w:rPr>
        <w:t>Quecksilber</w:t>
      </w:r>
      <w:r>
        <w:rPr>
          <w:spacing w:val="-32"/>
          <w:w w:val="90"/>
        </w:rPr>
        <w:t xml:space="preserve"> </w:t>
      </w:r>
      <w:r>
        <w:rPr>
          <w:w w:val="90"/>
        </w:rPr>
        <w:t xml:space="preserve">und </w:t>
      </w:r>
      <w:r>
        <w:rPr>
          <w:w w:val="95"/>
        </w:rPr>
        <w:t>Aluminium</w:t>
      </w:r>
    </w:p>
    <w:p w14:paraId="754F34B0" w14:textId="77777777" w:rsidR="00EC4803" w:rsidRDefault="00000000">
      <w:pPr>
        <w:pStyle w:val="Textkrper"/>
        <w:spacing w:before="318" w:line="242" w:lineRule="auto"/>
        <w:ind w:left="112" w:right="110"/>
        <w:jc w:val="both"/>
      </w:pPr>
      <w:r>
        <w:t>Ich habe schon oft über die möglichen Gesundheitsgefahren von Impfstoffen geschrieben, die giftige Konservierungs- und Hilfsstoffe enthalten. Eines der immunstimulierenden Adjuvantien in Impfstoffen, einschließlich Ganzzell- und Acelullar-Pertussis-Impfstoffen, ist Aluminium. In der vorgestellten dänischen Studie stellen die Forscher die Hypothese auf, dass das Aluminium-Adjuvans im DTP-Impfstoff mit der erhöhten Sterblichkeitsrate bei Mädchen im Säuglingsalter in Zusammenhang stehen könnte (es ist wichtig zu wissen, dass der DTP-Impfstoff auch ein Quecksilber-Konservierungsmittel (Thimerosal) enthält, und Quecksilber ist wie Aluminium ein bekanntes Neurotoxin).</w:t>
      </w:r>
    </w:p>
    <w:p w14:paraId="7AA54A0E" w14:textId="77777777" w:rsidR="00EC4803" w:rsidRDefault="00EC4803">
      <w:pPr>
        <w:pStyle w:val="Textkrper"/>
        <w:spacing w:before="9"/>
      </w:pPr>
    </w:p>
    <w:p w14:paraId="321700AF" w14:textId="77777777" w:rsidR="00EC4803" w:rsidRDefault="00000000">
      <w:pPr>
        <w:pStyle w:val="Textkrper"/>
        <w:spacing w:line="242" w:lineRule="auto"/>
        <w:ind w:left="112" w:right="109"/>
        <w:jc w:val="both"/>
      </w:pPr>
      <w:r>
        <w:t>Und obwohl sich die Studie nur auf afrikanische Kinder konzentrierte, die aufgrund schlechter Ernährung und anderer Umweltfaktoren, die eine gesunde Immunfunktion beeinträchtigen können, möglicherweise anfälliger für Impfschäden sind, macht sie doch deutlich, dass einige Impfstoffbestandteile erhebliche Risiken bergen und einzelne Kinder schädigen können, die ansonsten ein gesundes Leben hätten führen können. In den USA werden die meisten Kinderimpfstoffe (mit Ausnahme des Grippeimpfstoffs in Mehrfachdosis-Fläschchen) jetzt in thimerosalfreien Einzeldosis-Fläschchen geliefert.</w:t>
      </w:r>
    </w:p>
    <w:p w14:paraId="37820E52" w14:textId="77777777" w:rsidR="00EC4803" w:rsidRDefault="00EC4803">
      <w:pPr>
        <w:pStyle w:val="Textkrper"/>
        <w:spacing w:before="9"/>
      </w:pPr>
    </w:p>
    <w:p w14:paraId="136C23FA" w14:textId="77777777" w:rsidR="00EC4803" w:rsidRDefault="00000000">
      <w:pPr>
        <w:pStyle w:val="Textkrper"/>
        <w:spacing w:line="242" w:lineRule="auto"/>
        <w:ind w:left="112" w:right="108"/>
        <w:jc w:val="both"/>
      </w:pPr>
      <w:r>
        <w:t xml:space="preserve">Einige in den USA und auf der ganzen Welt verwendete Impfstoffe </w:t>
      </w:r>
      <w:r>
        <w:rPr>
          <w:b/>
        </w:rPr>
        <w:t xml:space="preserve">enthalten Quecksilber als Konservierungsmittel, </w:t>
      </w:r>
      <w:r>
        <w:t xml:space="preserve">darunter auch die unten aufgeführten. Eine vollständige Liste des Quecksilbergehalts in in den USA zugelassenen Impfstoffen finden Sie </w:t>
      </w:r>
      <w:r>
        <w:rPr>
          <w:color w:val="021EAA"/>
          <w:u w:val="single" w:color="021EAA"/>
        </w:rPr>
        <w:t>hier</w:t>
      </w:r>
      <w:r>
        <w:t xml:space="preserve">. Sie können auch die Quecksilbermenge in den von Ihrem Arzt empfohlenen Impfungen berechnen, indem Sie </w:t>
      </w:r>
      <w:r>
        <w:rPr>
          <w:color w:val="021EAA"/>
          <w:u w:val="single" w:color="021EAA"/>
        </w:rPr>
        <w:t xml:space="preserve">den Vaccine Ingredient Calculator </w:t>
      </w:r>
      <w:r>
        <w:t>verwenden.</w:t>
      </w:r>
    </w:p>
    <w:p w14:paraId="36ACEC89" w14:textId="77777777" w:rsidR="00EC4803" w:rsidRDefault="00EC4803">
      <w:pPr>
        <w:spacing w:line="242" w:lineRule="auto"/>
        <w:jc w:val="both"/>
        <w:sectPr w:rsidR="00EC4803">
          <w:pgSz w:w="11910" w:h="16840"/>
          <w:pgMar w:top="1040" w:right="1020" w:bottom="1080" w:left="1020" w:header="0" w:footer="881" w:gutter="0"/>
          <w:cols w:space="720"/>
        </w:sectPr>
      </w:pPr>
    </w:p>
    <w:tbl>
      <w:tblPr>
        <w:tblStyle w:val="TableNormal"/>
        <w:tblW w:w="0" w:type="auto"/>
        <w:tblInd w:w="823" w:type="dxa"/>
        <w:tblBorders>
          <w:top w:val="single" w:sz="18" w:space="0" w:color="BBE7F9"/>
          <w:left w:val="single" w:sz="18" w:space="0" w:color="BBE7F9"/>
          <w:bottom w:val="single" w:sz="18" w:space="0" w:color="BBE7F9"/>
          <w:right w:val="single" w:sz="18" w:space="0" w:color="BBE7F9"/>
          <w:insideH w:val="single" w:sz="18" w:space="0" w:color="BBE7F9"/>
          <w:insideV w:val="single" w:sz="18" w:space="0" w:color="BBE7F9"/>
        </w:tblBorders>
        <w:tblLayout w:type="fixed"/>
        <w:tblLook w:val="01E0" w:firstRow="1" w:lastRow="1" w:firstColumn="1" w:lastColumn="1" w:noHBand="0" w:noVBand="0"/>
      </w:tblPr>
      <w:tblGrid>
        <w:gridCol w:w="4128"/>
        <w:gridCol w:w="4128"/>
      </w:tblGrid>
      <w:tr w:rsidR="00EC4803" w14:paraId="23DC0319" w14:textId="77777777">
        <w:trPr>
          <w:trHeight w:val="960"/>
        </w:trPr>
        <w:tc>
          <w:tcPr>
            <w:tcW w:w="4128" w:type="dxa"/>
          </w:tcPr>
          <w:p w14:paraId="22FB1EE2" w14:textId="77777777" w:rsidR="00EC4803" w:rsidRDefault="00000000">
            <w:pPr>
              <w:pStyle w:val="TableParagraph"/>
              <w:spacing w:line="232" w:lineRule="auto"/>
              <w:ind w:left="225" w:right="829" w:hanging="11"/>
              <w:rPr>
                <w:sz w:val="28"/>
              </w:rPr>
            </w:pPr>
            <w:r>
              <w:rPr>
                <w:sz w:val="28"/>
              </w:rPr>
              <w:lastRenderedPageBreak/>
              <w:t>Alle DTwP-Produkte (Diphtherie, Tetanus und</w:t>
            </w:r>
          </w:p>
          <w:p w14:paraId="16DC9926" w14:textId="77777777" w:rsidR="00EC4803" w:rsidRDefault="00000000">
            <w:pPr>
              <w:pStyle w:val="TableParagraph"/>
              <w:spacing w:line="304" w:lineRule="exact"/>
              <w:ind w:left="225"/>
              <w:rPr>
                <w:sz w:val="28"/>
              </w:rPr>
            </w:pPr>
            <w:r>
              <w:rPr>
                <w:sz w:val="28"/>
              </w:rPr>
              <w:t>Keuchhusten mit ganzen Zellen)</w:t>
            </w:r>
          </w:p>
        </w:tc>
        <w:tc>
          <w:tcPr>
            <w:tcW w:w="4128" w:type="dxa"/>
          </w:tcPr>
          <w:p w14:paraId="27EC0080" w14:textId="77777777" w:rsidR="00EC4803" w:rsidRDefault="00000000">
            <w:pPr>
              <w:pStyle w:val="TableParagraph"/>
              <w:spacing w:before="155"/>
              <w:ind w:left="217"/>
              <w:rPr>
                <w:sz w:val="28"/>
              </w:rPr>
            </w:pPr>
            <w:r>
              <w:rPr>
                <w:w w:val="90"/>
                <w:sz w:val="28"/>
              </w:rPr>
              <w:t xml:space="preserve">Meningokokken-Mehrfachdosis- </w:t>
            </w:r>
            <w:r>
              <w:rPr>
                <w:sz w:val="28"/>
              </w:rPr>
              <w:t>Fläschchen</w:t>
            </w:r>
          </w:p>
        </w:tc>
      </w:tr>
      <w:tr w:rsidR="00EC4803" w14:paraId="749FDDDF" w14:textId="77777777">
        <w:trPr>
          <w:trHeight w:val="1883"/>
        </w:trPr>
        <w:tc>
          <w:tcPr>
            <w:tcW w:w="4128" w:type="dxa"/>
            <w:tcBorders>
              <w:bottom w:val="single" w:sz="48" w:space="0" w:color="BBE7F9"/>
            </w:tcBorders>
          </w:tcPr>
          <w:p w14:paraId="4A6F8C54" w14:textId="77777777" w:rsidR="00EC4803" w:rsidRDefault="00EC4803">
            <w:pPr>
              <w:pStyle w:val="TableParagraph"/>
              <w:spacing w:before="2"/>
              <w:rPr>
                <w:rFonts w:ascii="Arial"/>
                <w:sz w:val="27"/>
              </w:rPr>
            </w:pPr>
          </w:p>
          <w:p w14:paraId="34675FD6" w14:textId="77777777" w:rsidR="00EC4803" w:rsidRDefault="00000000">
            <w:pPr>
              <w:pStyle w:val="TableParagraph"/>
              <w:spacing w:line="323" w:lineRule="exact"/>
              <w:ind w:left="104"/>
              <w:rPr>
                <w:sz w:val="28"/>
              </w:rPr>
            </w:pPr>
            <w:r>
              <w:rPr>
                <w:sz w:val="28"/>
              </w:rPr>
              <w:t>DT (Diphtherie &amp; Tetanus)</w:t>
            </w:r>
          </w:p>
          <w:p w14:paraId="7CD46F1A" w14:textId="77777777" w:rsidR="00EC4803" w:rsidRDefault="00000000">
            <w:pPr>
              <w:pStyle w:val="TableParagraph"/>
              <w:spacing w:before="3" w:line="232" w:lineRule="auto"/>
              <w:ind w:left="1499"/>
              <w:rPr>
                <w:sz w:val="28"/>
              </w:rPr>
            </w:pPr>
            <w:r>
              <w:rPr>
                <w:w w:val="95"/>
                <w:sz w:val="28"/>
              </w:rPr>
              <w:t xml:space="preserve">Mehrfachdosis- </w:t>
            </w:r>
            <w:r>
              <w:rPr>
                <w:sz w:val="28"/>
              </w:rPr>
              <w:t>Fläschchen</w:t>
            </w:r>
          </w:p>
        </w:tc>
        <w:tc>
          <w:tcPr>
            <w:tcW w:w="4128" w:type="dxa"/>
            <w:tcBorders>
              <w:bottom w:val="single" w:sz="48" w:space="0" w:color="BBE7F9"/>
            </w:tcBorders>
          </w:tcPr>
          <w:p w14:paraId="7CB73AE4" w14:textId="77777777" w:rsidR="00EC4803" w:rsidRDefault="00000000">
            <w:pPr>
              <w:pStyle w:val="TableParagraph"/>
              <w:spacing w:line="235" w:lineRule="auto"/>
              <w:ind w:left="226" w:right="133" w:hanging="3"/>
              <w:jc w:val="center"/>
              <w:rPr>
                <w:sz w:val="28"/>
              </w:rPr>
            </w:pPr>
            <w:r>
              <w:rPr>
                <w:sz w:val="28"/>
              </w:rPr>
              <w:t>Alle Mehrfachdosen des saisonalen und des Schweinegrippe-Impfstoffs, die in der Regel für Erwachsene und Kinder ab drei Jahren</w:t>
            </w:r>
          </w:p>
          <w:p w14:paraId="1C5B462D" w14:textId="77777777" w:rsidR="00EC4803" w:rsidRDefault="00000000">
            <w:pPr>
              <w:pStyle w:val="TableParagraph"/>
              <w:spacing w:line="260" w:lineRule="exact"/>
              <w:ind w:left="906" w:right="817"/>
              <w:jc w:val="center"/>
              <w:rPr>
                <w:sz w:val="28"/>
              </w:rPr>
            </w:pPr>
            <w:r>
              <w:rPr>
                <w:sz w:val="28"/>
              </w:rPr>
              <w:t>empfohlen werden.</w:t>
            </w:r>
          </w:p>
        </w:tc>
      </w:tr>
      <w:tr w:rsidR="00EC4803" w14:paraId="29720F5E" w14:textId="77777777">
        <w:trPr>
          <w:trHeight w:val="967"/>
        </w:trPr>
        <w:tc>
          <w:tcPr>
            <w:tcW w:w="4128" w:type="dxa"/>
            <w:tcBorders>
              <w:top w:val="single" w:sz="48" w:space="0" w:color="BBE7F9"/>
            </w:tcBorders>
          </w:tcPr>
          <w:p w14:paraId="340FB6B0" w14:textId="77777777" w:rsidR="00EC4803" w:rsidRDefault="00000000">
            <w:pPr>
              <w:pStyle w:val="TableParagraph"/>
              <w:spacing w:line="322" w:lineRule="exact"/>
              <w:ind w:left="426"/>
              <w:rPr>
                <w:sz w:val="28"/>
              </w:rPr>
            </w:pPr>
            <w:r>
              <w:rPr>
                <w:sz w:val="28"/>
              </w:rPr>
              <w:t>Alle</w:t>
            </w:r>
            <w:r>
              <w:rPr>
                <w:spacing w:val="-1"/>
                <w:sz w:val="28"/>
              </w:rPr>
              <w:t xml:space="preserve"> </w:t>
            </w:r>
            <w:r>
              <w:rPr>
                <w:spacing w:val="-3"/>
                <w:sz w:val="28"/>
              </w:rPr>
              <w:t>Tetanus-Toxoid-</w:t>
            </w:r>
          </w:p>
          <w:p w14:paraId="59E04F62" w14:textId="77777777" w:rsidR="00EC4803" w:rsidRDefault="00000000">
            <w:pPr>
              <w:pStyle w:val="TableParagraph"/>
              <w:spacing w:before="6" w:line="320" w:lineRule="exact"/>
              <w:ind w:left="413" w:right="679"/>
              <w:rPr>
                <w:sz w:val="28"/>
              </w:rPr>
            </w:pPr>
            <w:r>
              <w:rPr>
                <w:sz w:val="28"/>
              </w:rPr>
              <w:t>Impfstoffe,</w:t>
            </w:r>
            <w:r>
              <w:rPr>
                <w:spacing w:val="-31"/>
                <w:sz w:val="28"/>
              </w:rPr>
              <w:t xml:space="preserve"> </w:t>
            </w:r>
            <w:r>
              <w:rPr>
                <w:sz w:val="28"/>
              </w:rPr>
              <w:t>einschließlich DT- und</w:t>
            </w:r>
            <w:r>
              <w:rPr>
                <w:spacing w:val="-6"/>
                <w:sz w:val="28"/>
              </w:rPr>
              <w:t xml:space="preserve"> </w:t>
            </w:r>
            <w:r>
              <w:rPr>
                <w:sz w:val="28"/>
              </w:rPr>
              <w:t>Td-Impfstoff</w:t>
            </w:r>
          </w:p>
        </w:tc>
        <w:tc>
          <w:tcPr>
            <w:tcW w:w="4128" w:type="dxa"/>
            <w:tcBorders>
              <w:top w:val="single" w:sz="48" w:space="0" w:color="BBE7F9"/>
            </w:tcBorders>
          </w:tcPr>
          <w:p w14:paraId="0D524D74" w14:textId="77777777" w:rsidR="00EC4803" w:rsidRDefault="00EC4803">
            <w:pPr>
              <w:pStyle w:val="TableParagraph"/>
              <w:rPr>
                <w:rFonts w:ascii="Times New Roman"/>
                <w:sz w:val="24"/>
              </w:rPr>
            </w:pPr>
          </w:p>
        </w:tc>
      </w:tr>
    </w:tbl>
    <w:p w14:paraId="17C453C8" w14:textId="77777777" w:rsidR="00EC4803" w:rsidRDefault="00EC4803">
      <w:pPr>
        <w:pStyle w:val="Textkrper"/>
        <w:spacing w:before="2"/>
        <w:rPr>
          <w:sz w:val="20"/>
        </w:rPr>
      </w:pPr>
    </w:p>
    <w:p w14:paraId="61CECFD5" w14:textId="77777777" w:rsidR="00EC4803" w:rsidRDefault="00000000">
      <w:pPr>
        <w:pStyle w:val="Textkrper"/>
        <w:spacing w:before="92" w:line="242" w:lineRule="auto"/>
        <w:ind w:left="112" w:right="109"/>
        <w:jc w:val="both"/>
      </w:pPr>
      <w:r>
        <w:t xml:space="preserve">Die bei der Herstellung einiger Impfstoffe verwendeten </w:t>
      </w:r>
      <w:r>
        <w:rPr>
          <w:color w:val="021EAA"/>
          <w:u w:val="single" w:color="021EAA"/>
        </w:rPr>
        <w:t xml:space="preserve">Aluminiumderivate </w:t>
      </w:r>
      <w:r>
        <w:t>beeinträchtigen nachweislich die Gehirn- und Immunfunktion von Labortieren und Menschen, und auch eine Reihe anderer Impfstoffbestandteile werden mit gesundheitlichen Problemen beim Menschen in Verbindung gebracht, wie z. B:</w:t>
      </w:r>
    </w:p>
    <w:p w14:paraId="560816B6" w14:textId="77777777" w:rsidR="00EC4803" w:rsidRDefault="00EC4803">
      <w:pPr>
        <w:pStyle w:val="Textkrper"/>
        <w:spacing w:before="10"/>
        <w:rPr>
          <w:sz w:val="26"/>
        </w:rPr>
      </w:pPr>
    </w:p>
    <w:tbl>
      <w:tblPr>
        <w:tblStyle w:val="TableNormal"/>
        <w:tblW w:w="0" w:type="auto"/>
        <w:tblInd w:w="823" w:type="dxa"/>
        <w:tblBorders>
          <w:top w:val="single" w:sz="18" w:space="0" w:color="BBE7F9"/>
          <w:left w:val="single" w:sz="18" w:space="0" w:color="BBE7F9"/>
          <w:bottom w:val="single" w:sz="18" w:space="0" w:color="BBE7F9"/>
          <w:right w:val="single" w:sz="18" w:space="0" w:color="BBE7F9"/>
          <w:insideH w:val="single" w:sz="18" w:space="0" w:color="BBE7F9"/>
          <w:insideV w:val="single" w:sz="18" w:space="0" w:color="BBE7F9"/>
        </w:tblBorders>
        <w:tblLayout w:type="fixed"/>
        <w:tblLook w:val="01E0" w:firstRow="1" w:lastRow="1" w:firstColumn="1" w:lastColumn="1" w:noHBand="0" w:noVBand="0"/>
      </w:tblPr>
      <w:tblGrid>
        <w:gridCol w:w="4131"/>
        <w:gridCol w:w="4131"/>
      </w:tblGrid>
      <w:tr w:rsidR="00EC4803" w14:paraId="7E6AE398" w14:textId="77777777">
        <w:trPr>
          <w:trHeight w:val="731"/>
        </w:trPr>
        <w:tc>
          <w:tcPr>
            <w:tcW w:w="4131" w:type="dxa"/>
          </w:tcPr>
          <w:p w14:paraId="0F5C3962" w14:textId="77777777" w:rsidR="00EC4803" w:rsidRDefault="00000000">
            <w:pPr>
              <w:pStyle w:val="TableParagraph"/>
              <w:spacing w:before="32" w:line="322" w:lineRule="exact"/>
              <w:ind w:left="185"/>
              <w:rPr>
                <w:sz w:val="28"/>
              </w:rPr>
            </w:pPr>
            <w:r>
              <w:rPr>
                <w:sz w:val="28"/>
              </w:rPr>
              <w:t>Formaldehyd, ein bekannter</w:t>
            </w:r>
          </w:p>
          <w:p w14:paraId="60122257" w14:textId="77777777" w:rsidR="00EC4803" w:rsidRDefault="00000000">
            <w:pPr>
              <w:pStyle w:val="TableParagraph"/>
              <w:spacing w:line="322" w:lineRule="exact"/>
              <w:ind w:left="1272"/>
              <w:rPr>
                <w:sz w:val="28"/>
              </w:rPr>
            </w:pPr>
            <w:r>
              <w:rPr>
                <w:sz w:val="28"/>
              </w:rPr>
              <w:t>krebserregender Stoff</w:t>
            </w:r>
          </w:p>
        </w:tc>
        <w:tc>
          <w:tcPr>
            <w:tcW w:w="4131" w:type="dxa"/>
          </w:tcPr>
          <w:p w14:paraId="32BC5739" w14:textId="77777777" w:rsidR="00EC4803" w:rsidRDefault="00000000">
            <w:pPr>
              <w:pStyle w:val="TableParagraph"/>
              <w:spacing w:before="193"/>
              <w:ind w:left="809"/>
              <w:rPr>
                <w:sz w:val="28"/>
              </w:rPr>
            </w:pPr>
            <w:r>
              <w:rPr>
                <w:sz w:val="28"/>
              </w:rPr>
              <w:t>Phenol (Karbolsäure)</w:t>
            </w:r>
          </w:p>
        </w:tc>
      </w:tr>
      <w:tr w:rsidR="00EC4803" w14:paraId="3D8A2DB7" w14:textId="77777777">
        <w:trPr>
          <w:trHeight w:val="1311"/>
        </w:trPr>
        <w:tc>
          <w:tcPr>
            <w:tcW w:w="4131" w:type="dxa"/>
          </w:tcPr>
          <w:p w14:paraId="65AA3FC5" w14:textId="77777777" w:rsidR="00EC4803" w:rsidRDefault="00000000">
            <w:pPr>
              <w:pStyle w:val="TableParagraph"/>
              <w:spacing w:before="42" w:line="232" w:lineRule="auto"/>
              <w:ind w:left="1350" w:right="240" w:hanging="938"/>
              <w:rPr>
                <w:sz w:val="28"/>
              </w:rPr>
            </w:pPr>
            <w:r>
              <w:rPr>
                <w:sz w:val="28"/>
              </w:rPr>
              <w:t>Neomycin und Streptomycin (Antibiotika)</w:t>
            </w:r>
          </w:p>
        </w:tc>
        <w:tc>
          <w:tcPr>
            <w:tcW w:w="4131" w:type="dxa"/>
          </w:tcPr>
          <w:p w14:paraId="4F5D44A7" w14:textId="77777777" w:rsidR="00EC4803" w:rsidRDefault="00000000">
            <w:pPr>
              <w:pStyle w:val="TableParagraph"/>
              <w:spacing w:before="34" w:line="322" w:lineRule="exact"/>
              <w:ind w:left="75"/>
              <w:rPr>
                <w:sz w:val="28"/>
              </w:rPr>
            </w:pPr>
            <w:r>
              <w:rPr>
                <w:sz w:val="28"/>
              </w:rPr>
              <w:t>Harz und Gelatine, die</w:t>
            </w:r>
          </w:p>
          <w:p w14:paraId="481F9D93" w14:textId="77777777" w:rsidR="00EC4803" w:rsidRDefault="00000000">
            <w:pPr>
              <w:pStyle w:val="TableParagraph"/>
              <w:spacing w:before="2" w:line="232" w:lineRule="auto"/>
              <w:ind w:left="1063" w:right="285"/>
              <w:rPr>
                <w:sz w:val="28"/>
              </w:rPr>
            </w:pPr>
            <w:r>
              <w:rPr>
                <w:sz w:val="28"/>
              </w:rPr>
              <w:t>bekanntermaßen allergische Reaktionen</w:t>
            </w:r>
          </w:p>
          <w:p w14:paraId="7FECE13F" w14:textId="77777777" w:rsidR="00EC4803" w:rsidRDefault="00000000">
            <w:pPr>
              <w:pStyle w:val="TableParagraph"/>
              <w:spacing w:line="296" w:lineRule="exact"/>
              <w:ind w:left="1063"/>
              <w:rPr>
                <w:sz w:val="28"/>
              </w:rPr>
            </w:pPr>
            <w:r>
              <w:rPr>
                <w:sz w:val="28"/>
              </w:rPr>
              <w:t>hervorrufen können</w:t>
            </w:r>
          </w:p>
        </w:tc>
      </w:tr>
      <w:tr w:rsidR="00EC4803" w14:paraId="69B49DF0" w14:textId="77777777">
        <w:trPr>
          <w:trHeight w:val="2323"/>
        </w:trPr>
        <w:tc>
          <w:tcPr>
            <w:tcW w:w="4131" w:type="dxa"/>
          </w:tcPr>
          <w:p w14:paraId="79089AD2" w14:textId="77777777" w:rsidR="00EC4803" w:rsidRDefault="00000000">
            <w:pPr>
              <w:pStyle w:val="TableParagraph"/>
              <w:spacing w:before="101" w:line="232" w:lineRule="auto"/>
              <w:ind w:left="358" w:right="265" w:firstLine="1"/>
              <w:jc w:val="center"/>
              <w:rPr>
                <w:sz w:val="28"/>
              </w:rPr>
            </w:pPr>
            <w:r>
              <w:rPr>
                <w:sz w:val="28"/>
              </w:rPr>
              <w:t>Polysorbat 80 (Tween80™), das anaphylaktische Reaktionen hervorrufen und zu Fehlgeburten und Unfruchtbarkeit führen kann (siehe nächster Abschnitt für</w:t>
            </w:r>
          </w:p>
          <w:p w14:paraId="5A286638" w14:textId="77777777" w:rsidR="00EC4803" w:rsidRDefault="00000000">
            <w:pPr>
              <w:pStyle w:val="TableParagraph"/>
              <w:spacing w:line="292" w:lineRule="exact"/>
              <w:ind w:left="779" w:right="690"/>
              <w:jc w:val="center"/>
              <w:rPr>
                <w:sz w:val="28"/>
              </w:rPr>
            </w:pPr>
            <w:r>
              <w:rPr>
                <w:sz w:val="28"/>
              </w:rPr>
              <w:t>weitere Einzelheiten)</w:t>
            </w:r>
          </w:p>
        </w:tc>
        <w:tc>
          <w:tcPr>
            <w:tcW w:w="4131" w:type="dxa"/>
          </w:tcPr>
          <w:p w14:paraId="5AE65CF7" w14:textId="77777777" w:rsidR="00EC4803" w:rsidRDefault="00EC4803">
            <w:pPr>
              <w:pStyle w:val="TableParagraph"/>
              <w:rPr>
                <w:rFonts w:ascii="Arial"/>
                <w:sz w:val="32"/>
              </w:rPr>
            </w:pPr>
          </w:p>
          <w:p w14:paraId="52895BC7" w14:textId="77777777" w:rsidR="00EC4803" w:rsidRDefault="00EC4803">
            <w:pPr>
              <w:pStyle w:val="TableParagraph"/>
              <w:spacing w:before="10"/>
              <w:rPr>
                <w:rFonts w:ascii="Arial"/>
                <w:sz w:val="31"/>
              </w:rPr>
            </w:pPr>
          </w:p>
          <w:p w14:paraId="7A92B848" w14:textId="77777777" w:rsidR="00EC4803" w:rsidRDefault="00000000">
            <w:pPr>
              <w:pStyle w:val="TableParagraph"/>
              <w:ind w:left="976" w:firstLine="387"/>
              <w:rPr>
                <w:sz w:val="28"/>
              </w:rPr>
            </w:pPr>
            <w:r>
              <w:rPr>
                <w:sz w:val="28"/>
              </w:rPr>
              <w:t>Triton X100 (Reinigungsmittel)</w:t>
            </w:r>
          </w:p>
        </w:tc>
      </w:tr>
    </w:tbl>
    <w:p w14:paraId="511BDCB9" w14:textId="77777777" w:rsidR="00EC4803" w:rsidRDefault="00EC4803">
      <w:pPr>
        <w:pStyle w:val="Textkrper"/>
        <w:spacing w:before="3"/>
        <w:rPr>
          <w:sz w:val="27"/>
        </w:rPr>
      </w:pPr>
    </w:p>
    <w:p w14:paraId="34EF8B8F" w14:textId="77777777" w:rsidR="00EC4803" w:rsidRDefault="00000000">
      <w:pPr>
        <w:pStyle w:val="berschrift1"/>
        <w:ind w:left="511"/>
      </w:pPr>
      <w:bookmarkStart w:id="5" w:name="Die_Gefahren_des_Pertussis-Impfstoffs"/>
      <w:bookmarkEnd w:id="5"/>
      <w:r>
        <w:t>Die Gefahren des Pertussis-Impfstoffs</w:t>
      </w:r>
    </w:p>
    <w:p w14:paraId="64C9CB6F" w14:textId="77777777" w:rsidR="00EC4803" w:rsidRDefault="00000000">
      <w:pPr>
        <w:pStyle w:val="Textkrper"/>
        <w:spacing w:before="319" w:line="242" w:lineRule="auto"/>
        <w:ind w:left="112" w:right="107"/>
        <w:jc w:val="both"/>
      </w:pPr>
      <w:r>
        <w:t xml:space="preserve">Jede Impfstoffmarke hat ihre eigene patentierte Formulierung, und es gibt auch Unterschiede zwischen den in Afrika und Europa zugelassenen und freigegebenen Impfstoffen und den in den USA zugelassenen und freigegebenen Impfstoffen. Daher ist es schwierig zu wissen, ob die beiden in diesem Artikel vorgestellten DPT-Studien in </w:t>
      </w:r>
      <w:r>
        <w:rPr>
          <w:i/>
        </w:rPr>
        <w:t xml:space="preserve">direktem </w:t>
      </w:r>
      <w:r>
        <w:t>Zusammenhang mit den DPT-Impfstoffen in Ländern außerhalb Afrikas</w:t>
      </w:r>
      <w:r>
        <w:rPr>
          <w:spacing w:val="-43"/>
        </w:rPr>
        <w:t xml:space="preserve"> </w:t>
      </w:r>
      <w:r>
        <w:t>stehen.</w:t>
      </w:r>
    </w:p>
    <w:p w14:paraId="2C8E3D0A" w14:textId="77777777" w:rsidR="00EC4803" w:rsidRDefault="00EC4803">
      <w:pPr>
        <w:pStyle w:val="Textkrper"/>
        <w:spacing w:before="8"/>
      </w:pPr>
    </w:p>
    <w:p w14:paraId="67C868B2" w14:textId="77777777" w:rsidR="00EC4803" w:rsidRDefault="00000000">
      <w:pPr>
        <w:pStyle w:val="Textkrper"/>
        <w:spacing w:line="242" w:lineRule="auto"/>
        <w:ind w:left="112" w:right="107"/>
        <w:jc w:val="both"/>
      </w:pPr>
      <w:r>
        <w:t xml:space="preserve">Dennoch bin ich der Meinung, dass Studien wie die hier erwähnten wie Rauchzeichen wirken und die Tatsache untermauern, dass Impfstoffe erhebliche Gesundheitsrisiken bergen, auch wenn die Wissenschaft noch einen weiten Weg vor sich hat, um die </w:t>
      </w:r>
      <w:r>
        <w:rPr>
          <w:i/>
        </w:rPr>
        <w:t>genauen biologischen Mechanismen zu ermitteln</w:t>
      </w:r>
      <w:r>
        <w:t>, die bei der Verursachung von Schäden und</w:t>
      </w:r>
    </w:p>
    <w:p w14:paraId="0E655A1F" w14:textId="77777777" w:rsidR="00EC4803" w:rsidRDefault="00EC4803">
      <w:pPr>
        <w:spacing w:line="242" w:lineRule="auto"/>
        <w:jc w:val="both"/>
        <w:sectPr w:rsidR="00EC4803">
          <w:pgSz w:w="11910" w:h="16840"/>
          <w:pgMar w:top="1040" w:right="1020" w:bottom="1080" w:left="1020" w:header="0" w:footer="881" w:gutter="0"/>
          <w:cols w:space="720"/>
        </w:sectPr>
      </w:pPr>
    </w:p>
    <w:p w14:paraId="613F087D" w14:textId="77777777" w:rsidR="00EC4803" w:rsidRDefault="00000000">
      <w:pPr>
        <w:pStyle w:val="Textkrper"/>
        <w:spacing w:before="80"/>
        <w:ind w:left="112"/>
        <w:jc w:val="both"/>
      </w:pPr>
      <w:r>
        <w:lastRenderedPageBreak/>
        <w:t>Todesfällen durch Impfungen eine Rolle spielen.</w:t>
      </w:r>
    </w:p>
    <w:p w14:paraId="4A358A36" w14:textId="77777777" w:rsidR="00EC4803" w:rsidRDefault="00EC4803">
      <w:pPr>
        <w:pStyle w:val="Textkrper"/>
        <w:spacing w:before="1"/>
        <w:rPr>
          <w:sz w:val="25"/>
        </w:rPr>
      </w:pPr>
    </w:p>
    <w:p w14:paraId="03041B8D" w14:textId="77777777" w:rsidR="00EC4803" w:rsidRDefault="00000000">
      <w:pPr>
        <w:pStyle w:val="Textkrper"/>
        <w:spacing w:line="242" w:lineRule="auto"/>
        <w:ind w:left="112" w:right="109"/>
        <w:jc w:val="both"/>
      </w:pPr>
      <w:r>
        <w:t>Die Autoren der DPT-Studie geben lediglich an, dass die Todesfälle auf die "unspezifischen Auswirkungen" der Impfung zurückzuführen sind, obwohl ihre Hypothese lautet, dass die Aluminiumadjuvantien eine wichtige Rolle spielen könnten. Wie bereits erwähnt, enthält der DPT-Impfstoff auch Keuchhusten-Toxin und Endotoxin, und es gibt nur unzureichende wissenschaftliche Erkenntnisse darüber, wie genau diese Toxine mit den Aluminium-Adjuvantien und den Quecksilber-Konservierungsmitteln interagieren, um eine akute Entzündung im Körper zu verursachen, die zum plötzlichen Kindstod oder zu einer Enzephalitis führen kann, die zu einer chronischen Gehirnentzündung und dauerhaften Hirnschäden</w:t>
      </w:r>
      <w:r>
        <w:rPr>
          <w:spacing w:val="-3"/>
        </w:rPr>
        <w:t xml:space="preserve"> </w:t>
      </w:r>
      <w:r>
        <w:t>führt.</w:t>
      </w:r>
    </w:p>
    <w:p w14:paraId="4FA1B335" w14:textId="77777777" w:rsidR="00EC4803" w:rsidRDefault="00EC4803">
      <w:pPr>
        <w:pStyle w:val="Textkrper"/>
        <w:spacing w:before="8"/>
      </w:pPr>
    </w:p>
    <w:p w14:paraId="0964E0EF" w14:textId="77777777" w:rsidR="00EC4803" w:rsidRDefault="00000000">
      <w:pPr>
        <w:pStyle w:val="Textkrper"/>
        <w:spacing w:line="242" w:lineRule="auto"/>
        <w:ind w:left="112" w:right="108"/>
        <w:jc w:val="both"/>
      </w:pPr>
      <w:r>
        <w:t>In den USA erhalten Kinder mehrere Dosen eines azellulären Keuchhustenimpfstoffs (DtaP, Tdap) zur Vorbeugung gegen Keuchhusten (B. pertussis). Azelluläre Pertussis- Impfstoffe enthalten keine Quecksilberkonservierungsmittel und weisen geringere Mengen an bioaktivem Pertussis-Toxin und Endotoxin auf. Sie scheinen weniger Fälle von Hirnentzündungen und dauerhaften Hirnschäden zu verursachen, sind aber immer noch nicht für jedes Kind völlig sicher. Pertussis-haltige Impfstoffe (DTaP) werden fünfmal an Kinder unter sechs Jahren verabreicht, plus Auffrischungsdosen (Tdap) für Jugendliche und Erwachsene.</w:t>
      </w:r>
    </w:p>
    <w:p w14:paraId="7E15F1C9" w14:textId="77777777" w:rsidR="00EC4803" w:rsidRDefault="00EC4803">
      <w:pPr>
        <w:spacing w:line="242" w:lineRule="auto"/>
        <w:jc w:val="both"/>
        <w:sectPr w:rsidR="00EC4803">
          <w:pgSz w:w="11910" w:h="16840"/>
          <w:pgMar w:top="1020" w:right="1020" w:bottom="1080" w:left="1020" w:header="0" w:footer="881" w:gutter="0"/>
          <w:cols w:space="720"/>
        </w:sectPr>
      </w:pPr>
    </w:p>
    <w:p w14:paraId="2AE9985E" w14:textId="77777777" w:rsidR="00EC4803" w:rsidRDefault="00000000">
      <w:pPr>
        <w:pStyle w:val="Textkrper"/>
        <w:spacing w:before="76" w:line="242" w:lineRule="auto"/>
        <w:ind w:left="112" w:right="109"/>
        <w:jc w:val="both"/>
      </w:pPr>
      <w:r>
        <w:lastRenderedPageBreak/>
        <w:t xml:space="preserve">Es stellt sich die Frage, ob Ganzzell- und azelluläre Keuchhustenimpfstoffe so sicher sind, wie sie sein können. Wie </w:t>
      </w:r>
      <w:r>
        <w:rPr>
          <w:color w:val="021EAA"/>
          <w:u w:val="single" w:color="021EAA"/>
        </w:rPr>
        <w:t>Barbara Loe Fisher in einem früheren Artikel erörterte</w:t>
      </w:r>
      <w:r>
        <w:t>, können Keuchhustenimpfstoffe verschiedene Mengen bioaktiver Toxine enthalten, darunter Aluminium- und Quecksilberzusätze, und es ist bekannt, dass sie bei einigen Kindern zu Todesfällen und Gehirnverletzungen geführt haben. Tatsächlich betrafen mehr als die Hälfte der 2 480 Entschädigungen für Impfschäden und Todesfälle in Höhe von insgesamt 2 Milliarden Dollar, die im Rahmen des National Childhood Vaccine Injury Act von 1986 zugesprochen wurden, den Keuchhustenimpfstoff in DPT- oder DtaP-Impfungen.</w:t>
      </w:r>
    </w:p>
    <w:p w14:paraId="5E871ACC" w14:textId="77777777" w:rsidR="00EC4803" w:rsidRDefault="00EC4803">
      <w:pPr>
        <w:pStyle w:val="Textkrper"/>
        <w:spacing w:before="7"/>
      </w:pPr>
    </w:p>
    <w:p w14:paraId="001BFD59" w14:textId="77777777" w:rsidR="00EC4803" w:rsidRDefault="00000000">
      <w:pPr>
        <w:spacing w:line="242" w:lineRule="auto"/>
        <w:ind w:left="112" w:right="110"/>
        <w:jc w:val="both"/>
        <w:rPr>
          <w:i/>
          <w:sz w:val="24"/>
        </w:rPr>
      </w:pPr>
      <w:r>
        <w:rPr>
          <w:sz w:val="24"/>
        </w:rPr>
        <w:t xml:space="preserve">In der wissenschaftlichen Literatur gibt es auch Hinweise darauf, dass die allgemeine Verwendung des Keuchhustenimpfstoffs seit mehr als 60 Jahren </w:t>
      </w:r>
      <w:r>
        <w:rPr>
          <w:i/>
          <w:sz w:val="24"/>
        </w:rPr>
        <w:t xml:space="preserve">Druck auf den B. pertussis-Organismus </w:t>
      </w:r>
      <w:r>
        <w:rPr>
          <w:sz w:val="24"/>
        </w:rPr>
        <w:t>ausgeübt hat</w:t>
      </w:r>
      <w:r>
        <w:rPr>
          <w:i/>
          <w:sz w:val="24"/>
        </w:rPr>
        <w:t>, sich weiterzuentwickeln und gegen den Impfstoff resistent zu werden, und es gibt Hinweise darauf, dass es in hochgeimpften Ländern wie den USA infolgedessen zu Ausbrüchen von Keuchhusten kommt!</w:t>
      </w:r>
    </w:p>
    <w:p w14:paraId="4CD2EEC3" w14:textId="77777777" w:rsidR="00EC4803" w:rsidRDefault="00EC4803">
      <w:pPr>
        <w:pStyle w:val="Textkrper"/>
        <w:spacing w:before="9"/>
        <w:rPr>
          <w:i/>
        </w:rPr>
      </w:pPr>
    </w:p>
    <w:p w14:paraId="531E87DB" w14:textId="77777777" w:rsidR="00EC4803" w:rsidRDefault="00000000">
      <w:pPr>
        <w:pStyle w:val="berschrift1"/>
        <w:spacing w:line="261" w:lineRule="auto"/>
        <w:ind w:left="2294" w:right="2293" w:hanging="1"/>
      </w:pPr>
      <w:bookmarkStart w:id="6" w:name="Neue_Studie_zeigt,_dass_der_Schutz_durch"/>
      <w:bookmarkEnd w:id="6"/>
      <w:r>
        <w:rPr>
          <w:w w:val="80"/>
        </w:rPr>
        <w:t xml:space="preserve">Neue Studie zeigt, dass der Schutz durch die </w:t>
      </w:r>
      <w:r>
        <w:rPr>
          <w:w w:val="95"/>
        </w:rPr>
        <w:t>Keuchhustenimpfung</w:t>
      </w:r>
      <w:r>
        <w:rPr>
          <w:spacing w:val="-23"/>
          <w:w w:val="95"/>
        </w:rPr>
        <w:t xml:space="preserve"> </w:t>
      </w:r>
      <w:r>
        <w:rPr>
          <w:w w:val="95"/>
        </w:rPr>
        <w:t>nach</w:t>
      </w:r>
      <w:r>
        <w:rPr>
          <w:spacing w:val="-26"/>
          <w:w w:val="95"/>
        </w:rPr>
        <w:t xml:space="preserve"> </w:t>
      </w:r>
      <w:r>
        <w:rPr>
          <w:w w:val="95"/>
        </w:rPr>
        <w:t>drei</w:t>
      </w:r>
      <w:r>
        <w:rPr>
          <w:spacing w:val="-28"/>
          <w:w w:val="95"/>
        </w:rPr>
        <w:t xml:space="preserve"> </w:t>
      </w:r>
      <w:r>
        <w:rPr>
          <w:w w:val="95"/>
        </w:rPr>
        <w:t xml:space="preserve">Jahren </w:t>
      </w:r>
      <w:r>
        <w:t>nachlässt</w:t>
      </w:r>
    </w:p>
    <w:p w14:paraId="554EBCB1" w14:textId="77777777" w:rsidR="00EC4803" w:rsidRDefault="00000000">
      <w:pPr>
        <w:pStyle w:val="Textkrper"/>
        <w:spacing w:before="277" w:line="242" w:lineRule="auto"/>
        <w:ind w:left="112" w:right="110"/>
        <w:jc w:val="both"/>
      </w:pPr>
      <w:r>
        <w:t>Eine weitere vorläufige Studie (die im September auf der Konferenz der American Society for Microbiology in Chicago vorgestellt wurde) hat ergeben, dass der azelluläre Keuchhustenimpfstoff bereits nach drei Jahren einen Großteil seiner Wirksamkeit verliert. Das ist viel schneller als bisher angenommen und könnte auch die jüngsten Keuchhustenausbrüche in den USA erklären. Laut CBSNews:</w:t>
      </w:r>
    </w:p>
    <w:p w14:paraId="48A9ADDD" w14:textId="77777777" w:rsidR="00EC4803" w:rsidRDefault="00EC4803">
      <w:pPr>
        <w:pStyle w:val="Textkrper"/>
        <w:spacing w:before="8"/>
      </w:pPr>
    </w:p>
    <w:p w14:paraId="307FCFC7" w14:textId="77777777" w:rsidR="00EC4803" w:rsidRDefault="00000000">
      <w:pPr>
        <w:spacing w:line="242" w:lineRule="auto"/>
        <w:ind w:left="680" w:right="678"/>
        <w:jc w:val="both"/>
        <w:rPr>
          <w:i/>
          <w:sz w:val="24"/>
        </w:rPr>
      </w:pPr>
      <w:r>
        <w:rPr>
          <w:i/>
          <w:sz w:val="24"/>
        </w:rPr>
        <w:t>"Die Autoren sagten, die Ergebnisse müssten durch weitere Untersuchungen bestätigt werden. Nichtsdestotrotz werden die Ergebnisse wahrscheinlich eine Debatte darüber auslösen, ob Kinder eine Auffrischungsimpfung früher als jetzt empfohlen erhalten sollten. "Ich war beunruhigt, dass wir vielleicht etwas mehr Vertrauen in den Impfstoff haben, als er verdient", sagte der leitende Forscher, Dr. David Witt..."</w:t>
      </w:r>
    </w:p>
    <w:p w14:paraId="3252CCA0" w14:textId="77777777" w:rsidR="00EC4803" w:rsidRDefault="00EC4803">
      <w:pPr>
        <w:pStyle w:val="Textkrper"/>
        <w:spacing w:before="8"/>
        <w:rPr>
          <w:i/>
        </w:rPr>
      </w:pPr>
    </w:p>
    <w:p w14:paraId="2D80ECF8" w14:textId="77777777" w:rsidR="00EC4803" w:rsidRDefault="00000000">
      <w:pPr>
        <w:pStyle w:val="Textkrper"/>
        <w:spacing w:line="242" w:lineRule="auto"/>
        <w:ind w:left="112" w:right="107"/>
        <w:jc w:val="both"/>
      </w:pPr>
      <w:r>
        <w:t xml:space="preserve">Leider werden zusätzliche Auffrischungsimpfungen die Situation eher </w:t>
      </w:r>
      <w:r>
        <w:rPr>
          <w:i/>
        </w:rPr>
        <w:t xml:space="preserve">verschlimmern </w:t>
      </w:r>
      <w:r>
        <w:t>als verbessern, vor allem angesichts der Tatsache, dass die massenhafte Verwendung der bestehenden Keuchhustenimpfstoffe bereits zu impfstoffresistenten Stämmen geführt hat, die sich weiterentwickeln und noch viel virulenter werden könnten. Alle diese Ergebnisse zusammengenommen - die erhöhte Säuglingssterblichkeit bei Mädchen, der Mutationsfaktor und die schneller als gedacht abnehmende Wirksamkeit - veranschaulichen, wie ein perfekter Sturm entsteht, wenn wir unser Denken über die öffentliche Gesundheitspolitik, die so stark auf Massenimpfungen setzt, nicht ändern.</w:t>
      </w:r>
    </w:p>
    <w:p w14:paraId="460FAD93" w14:textId="77777777" w:rsidR="00EC4803" w:rsidRDefault="00EC4803">
      <w:pPr>
        <w:pStyle w:val="Textkrper"/>
        <w:rPr>
          <w:sz w:val="25"/>
        </w:rPr>
      </w:pPr>
    </w:p>
    <w:p w14:paraId="6282C52E" w14:textId="77777777" w:rsidR="00EC4803" w:rsidRDefault="00000000">
      <w:pPr>
        <w:pStyle w:val="berschrift1"/>
        <w:ind w:left="511"/>
      </w:pPr>
      <w:bookmarkStart w:id="7" w:name="Informieren_Sie_sich_weiter_über_Impfsto"/>
      <w:bookmarkEnd w:id="7"/>
      <w:r>
        <w:rPr>
          <w:w w:val="95"/>
        </w:rPr>
        <w:t>Informieren Sie sich weiter über Impfstoffe</w:t>
      </w:r>
    </w:p>
    <w:p w14:paraId="4DD35B50" w14:textId="77777777" w:rsidR="00EC4803" w:rsidRDefault="00000000">
      <w:pPr>
        <w:pStyle w:val="Textkrper"/>
        <w:spacing w:before="318" w:line="242" w:lineRule="auto"/>
        <w:ind w:left="112" w:right="110"/>
        <w:jc w:val="both"/>
      </w:pPr>
      <w:r>
        <w:t>Es wird immer notwendiger, sich und seine Familie über die Problematik von Impfungen jeglicher Art zu informieren. Es gibt so viele Probleme, dass ein einziger Artikel sie unmöglich alle abdecken kann.</w:t>
      </w:r>
    </w:p>
    <w:p w14:paraId="4062F197" w14:textId="77777777" w:rsidR="00EC4803" w:rsidRDefault="00EC4803">
      <w:pPr>
        <w:pStyle w:val="Textkrper"/>
        <w:spacing w:before="6"/>
      </w:pPr>
    </w:p>
    <w:p w14:paraId="2EDB0C6B" w14:textId="77777777" w:rsidR="00EC4803" w:rsidRDefault="00000000">
      <w:pPr>
        <w:pStyle w:val="Textkrper"/>
        <w:spacing w:line="242" w:lineRule="auto"/>
        <w:ind w:left="112" w:right="106"/>
        <w:jc w:val="both"/>
      </w:pPr>
      <w:r>
        <w:t xml:space="preserve">Sie können alle Artikel über Impfstoffe auf meiner </w:t>
      </w:r>
      <w:r>
        <w:rPr>
          <w:color w:val="021EAA"/>
          <w:u w:val="single" w:color="021EAA"/>
        </w:rPr>
        <w:t xml:space="preserve">Seite Latest Vaccine News </w:t>
      </w:r>
      <w:r>
        <w:t xml:space="preserve">finden und durchsuchen. Ich empfehle Ihnen auch, sich mit der Website des </w:t>
      </w:r>
      <w:r>
        <w:rPr>
          <w:color w:val="021EAA"/>
          <w:u w:val="single" w:color="021EAA"/>
        </w:rPr>
        <w:t>National Vaccine</w:t>
      </w:r>
    </w:p>
    <w:p w14:paraId="24782131" w14:textId="77777777" w:rsidR="00EC4803" w:rsidRDefault="00EC4803">
      <w:pPr>
        <w:spacing w:line="242" w:lineRule="auto"/>
        <w:jc w:val="both"/>
        <w:sectPr w:rsidR="00EC4803">
          <w:pgSz w:w="11910" w:h="16840"/>
          <w:pgMar w:top="1040" w:right="1020" w:bottom="1080" w:left="1020" w:header="0" w:footer="881" w:gutter="0"/>
          <w:cols w:space="720"/>
        </w:sectPr>
      </w:pPr>
    </w:p>
    <w:p w14:paraId="2F9E10BF" w14:textId="77777777" w:rsidR="00EC4803" w:rsidRDefault="00000000">
      <w:pPr>
        <w:pStyle w:val="Textkrper"/>
        <w:spacing w:before="80" w:line="242" w:lineRule="auto"/>
        <w:ind w:left="112" w:right="113"/>
        <w:jc w:val="both"/>
      </w:pPr>
      <w:r>
        <w:rPr>
          <w:color w:val="021EAA"/>
          <w:u w:val="single" w:color="021EAA"/>
        </w:rPr>
        <w:lastRenderedPageBreak/>
        <w:t xml:space="preserve">Information Center (NVIC) </w:t>
      </w:r>
      <w:r>
        <w:t>vertraut zu machen. Das NVIC ist führend auf dem Gebiet der Impfstoffsicherheit und bietet Informationen zu allen Themen, von Gesetzen über die informierte Zustimmung bis hin zu aktuellen Impfstoffnachrichten.</w:t>
      </w:r>
    </w:p>
    <w:p w14:paraId="5DF52ED9" w14:textId="77777777" w:rsidR="00EC4803" w:rsidRDefault="00EC4803">
      <w:pPr>
        <w:spacing w:line="242" w:lineRule="auto"/>
        <w:jc w:val="both"/>
        <w:sectPr w:rsidR="00EC4803">
          <w:pgSz w:w="11910" w:h="16840"/>
          <w:pgMar w:top="960" w:right="1020" w:bottom="1080" w:left="1020" w:header="0" w:footer="881" w:gutter="0"/>
          <w:cols w:space="720"/>
        </w:sectPr>
      </w:pPr>
    </w:p>
    <w:p w14:paraId="22133544" w14:textId="77777777" w:rsidR="00EC4803" w:rsidRDefault="00000000">
      <w:pPr>
        <w:pStyle w:val="berschrift1"/>
        <w:spacing w:before="16"/>
      </w:pPr>
      <w:bookmarkStart w:id="8" w:name="Was_Sie_tun_können,_um_etwas_zu_bewirken"/>
      <w:bookmarkEnd w:id="8"/>
      <w:r>
        <w:rPr>
          <w:w w:val="95"/>
        </w:rPr>
        <w:lastRenderedPageBreak/>
        <w:t>Was Sie tun können, um etwas zu bewirken</w:t>
      </w:r>
    </w:p>
    <w:p w14:paraId="55EF43E6" w14:textId="77777777" w:rsidR="00EC4803" w:rsidRDefault="00000000">
      <w:pPr>
        <w:pStyle w:val="Textkrper"/>
        <w:spacing w:before="320" w:line="242" w:lineRule="auto"/>
        <w:ind w:left="112" w:right="113"/>
        <w:jc w:val="both"/>
      </w:pPr>
      <w:r>
        <w:t>Auch wenn es "altmodisch" erscheint, besteht die einzige wirklich wirksame Maßnahme, die Sie ergreifen können, um das Recht auf eine informierte Zustimmung zur Impfung zu schützen und die Ausnahmeregelungen für Impfungen auszuweiten, darin, sich persönlich bei den Abgeordneten Ihres Bundesstaates und den Verantwortlichen in Ihrer Gemeinde zu engagieren.</w:t>
      </w:r>
    </w:p>
    <w:p w14:paraId="570CB25C" w14:textId="77777777" w:rsidR="00EC4803" w:rsidRDefault="00EC4803">
      <w:pPr>
        <w:pStyle w:val="Textkrper"/>
        <w:spacing w:before="8"/>
      </w:pPr>
    </w:p>
    <w:p w14:paraId="1D234B2A" w14:textId="77777777" w:rsidR="00EC4803" w:rsidRDefault="00000000">
      <w:pPr>
        <w:pStyle w:val="berschrift1"/>
      </w:pPr>
      <w:bookmarkStart w:id="9" w:name="GLOBAL_DENKEN,_LOKAL_HANDELN."/>
      <w:bookmarkEnd w:id="9"/>
      <w:r>
        <w:rPr>
          <w:w w:val="95"/>
        </w:rPr>
        <w:t>GLOBAL DENKEN, LOKAL HANDELN.</w:t>
      </w:r>
    </w:p>
    <w:p w14:paraId="6E0758A1" w14:textId="77777777" w:rsidR="00EC4803" w:rsidRDefault="00000000">
      <w:pPr>
        <w:pStyle w:val="Textkrper"/>
        <w:spacing w:before="318" w:line="242" w:lineRule="auto"/>
        <w:ind w:left="112" w:right="111"/>
        <w:jc w:val="both"/>
      </w:pPr>
      <w:r>
        <w:t>Massenimpfungen werden auf Bundesebene beschlossen, aber die Impfgesetze werden auf Ebene der Bundesstaaten erlassen, und es ist die Ebene der Bundesstaaten, auf der Ihre Maßnahmen zum Schutz Ihres Rechts auf Impfung die größte Wirkung haben  können.</w:t>
      </w:r>
    </w:p>
    <w:p w14:paraId="2AE0188B" w14:textId="77777777" w:rsidR="00EC4803" w:rsidRDefault="00EC4803">
      <w:pPr>
        <w:pStyle w:val="Textkrper"/>
        <w:spacing w:before="6"/>
      </w:pPr>
    </w:p>
    <w:p w14:paraId="721A504E" w14:textId="77777777" w:rsidR="00EC4803" w:rsidRDefault="00000000">
      <w:pPr>
        <w:pStyle w:val="Textkrper"/>
        <w:spacing w:line="242" w:lineRule="auto"/>
        <w:ind w:left="112" w:right="109"/>
        <w:jc w:val="both"/>
      </w:pPr>
      <w:r>
        <w:t xml:space="preserve">Wenn Sie sich für das kostenlose NVIC-Advocacy-Portal unter </w:t>
      </w:r>
      <w:hyperlink r:id="rId11">
        <w:r>
          <w:rPr>
            <w:color w:val="021EAA"/>
            <w:u w:val="single" w:color="021EAA"/>
          </w:rPr>
          <w:t>www.NVICAdvocacy.org</w:t>
        </w:r>
      </w:hyperlink>
      <w:r>
        <w:rPr>
          <w:color w:val="021EAA"/>
        </w:rPr>
        <w:t xml:space="preserve"> </w:t>
      </w:r>
      <w:r>
        <w:t xml:space="preserve">anmelden, erhalten Sie nicht nur Zugang zu praktischen, nützlichen Informationen, die Ihnen helfen, sich in Ihrer eigenen Gemeinde für die Wahl von Impfstoffen einzusetzen, sondern Sie haben auch die aktuellen Informationen und Handlungsaufforderungen zur Hand, die Sie brauchen, um sich Gehör zu verschaffen, wenn nationale Impfstofffragen aufkommen. Als ersten Schritt sollten Sie sich daher </w:t>
      </w:r>
      <w:r>
        <w:rPr>
          <w:color w:val="021EAA"/>
        </w:rPr>
        <w:t>für das NVIC Advocacy Portal anmelden</w:t>
      </w:r>
      <w:r>
        <w:t>.</w:t>
      </w:r>
    </w:p>
    <w:p w14:paraId="7687A8EF" w14:textId="77777777" w:rsidR="00EC4803" w:rsidRDefault="00EC4803">
      <w:pPr>
        <w:pStyle w:val="Textkrper"/>
        <w:spacing w:before="10"/>
      </w:pPr>
    </w:p>
    <w:p w14:paraId="4D68C88B" w14:textId="77777777" w:rsidR="00EC4803" w:rsidRDefault="00000000">
      <w:pPr>
        <w:pStyle w:val="berschrift1"/>
      </w:pPr>
      <w:bookmarkStart w:id="10" w:name="Kontaktieren_Sie_Ihre_gewählten_Beamten"/>
      <w:bookmarkEnd w:id="10"/>
      <w:r>
        <w:rPr>
          <w:w w:val="95"/>
        </w:rPr>
        <w:t>Kontaktieren Sie Ihre gewählten Beamten</w:t>
      </w:r>
    </w:p>
    <w:p w14:paraId="47E24FBE" w14:textId="77777777" w:rsidR="00EC4803" w:rsidRDefault="00000000">
      <w:pPr>
        <w:pStyle w:val="Textkrper"/>
        <w:spacing w:before="319" w:line="242" w:lineRule="auto"/>
        <w:ind w:left="112" w:right="110"/>
        <w:jc w:val="both"/>
      </w:pPr>
      <w:r>
        <w:t xml:space="preserve">Schreiben oder mailen Sie Ihren gewählten Vertretern des Staates und teilen Sie ihnen Ihre Bedenken mit. Rufen Sie sie an, oder noch besser, vereinbaren Sie einen Termin, um sie persönlich in ihrem Büro zu besuchen. Lassen Sie nicht zu, dass sie </w:t>
      </w:r>
      <w:r>
        <w:rPr>
          <w:spacing w:val="-4"/>
        </w:rPr>
        <w:t>Sie</w:t>
      </w:r>
      <w:r>
        <w:rPr>
          <w:spacing w:val="-28"/>
        </w:rPr>
        <w:t xml:space="preserve"> </w:t>
      </w:r>
      <w:r>
        <w:t>vergessen!</w:t>
      </w:r>
    </w:p>
    <w:p w14:paraId="5019FE4B" w14:textId="77777777" w:rsidR="00EC4803" w:rsidRDefault="00EC4803">
      <w:pPr>
        <w:pStyle w:val="Textkrper"/>
        <w:spacing w:before="6"/>
      </w:pPr>
    </w:p>
    <w:p w14:paraId="103D6E06" w14:textId="77777777" w:rsidR="00EC4803" w:rsidRDefault="00000000">
      <w:pPr>
        <w:pStyle w:val="Textkrper"/>
        <w:spacing w:line="242" w:lineRule="auto"/>
        <w:ind w:left="112" w:right="110"/>
        <w:jc w:val="both"/>
      </w:pPr>
      <w:r>
        <w:t xml:space="preserve">Es ist so wichtig, dass Sie sich an die Verantwortlichen und Meinungsmacher in Ihrer Gemeinde wenden und dafür sorgen, dass Ihre Anliegen auf dem Radarschirm erscheinen, insbesondere bei den Politikern, die Sie wählen und die direkt an der Ausarbeitung der Impfstoffgesetze in Ihrem Staat beteiligt sind. Sie haben das Recht und die Pflicht, sie wissen zu lassen, was in Ihrem Leben und im Leben der Menschen, die Sie kennen, </w:t>
      </w:r>
      <w:r>
        <w:rPr>
          <w:i/>
        </w:rPr>
        <w:t xml:space="preserve">wirklich </w:t>
      </w:r>
      <w:r>
        <w:t>passiert, wenn es um Impfvorschriften geht. Teilen Sie unbedingt die Erfahrungen mit, die Sie oder Menschen, die Sie kennen, im Zusammenhang mit Impfungen gemacht</w:t>
      </w:r>
      <w:r>
        <w:rPr>
          <w:spacing w:val="-2"/>
        </w:rPr>
        <w:t xml:space="preserve"> </w:t>
      </w:r>
      <w:r>
        <w:t>haben.</w:t>
      </w:r>
    </w:p>
    <w:p w14:paraId="1FB28970" w14:textId="77777777" w:rsidR="00EC4803" w:rsidRDefault="00EC4803">
      <w:pPr>
        <w:pStyle w:val="Textkrper"/>
        <w:spacing w:before="10"/>
      </w:pPr>
    </w:p>
    <w:p w14:paraId="1F4F5C71" w14:textId="77777777" w:rsidR="00EC4803" w:rsidRDefault="00000000">
      <w:pPr>
        <w:pStyle w:val="berschrift1"/>
        <w:spacing w:before="1"/>
        <w:ind w:left="83" w:right="79"/>
      </w:pPr>
      <w:bookmarkStart w:id="11" w:name="Teilen_Sie_Ihre_Geschichte_mit_den_Medie"/>
      <w:bookmarkEnd w:id="11"/>
      <w:r>
        <w:rPr>
          <w:w w:val="85"/>
        </w:rPr>
        <w:t>Teilen Sie Ihre Geschichte mit den Medien und den Menschen, die Sie kennen</w:t>
      </w:r>
    </w:p>
    <w:p w14:paraId="429A0ADB" w14:textId="77777777" w:rsidR="00EC4803" w:rsidRDefault="00000000">
      <w:pPr>
        <w:pStyle w:val="Textkrper"/>
        <w:spacing w:before="318" w:line="242" w:lineRule="auto"/>
        <w:ind w:left="112" w:right="108"/>
        <w:jc w:val="both"/>
      </w:pPr>
      <w:r>
        <w:t>Wenn Sie oder ein Familienmitglied eine schwere Impfreaktion, eine Verletzung oder  einen Todesfall erlitten haben, sprechen Sie bitte darüber. Wenn wir keine Informationen und Erfahrungen miteinander teilen, fühlt sich jeder allein und hat Angst, etwas zu sagen. Schreiben Sie einen Leserbrief, wenn Sie eine Geschichte über Impfstoffe in Ihrer Lokalzeitung aus einer anderen Perspektive betrachten. Rufen Sie in einer Radio- Talkshow an, in der nur eine Seite der Impfstoff-Geschichte dargestellt</w:t>
      </w:r>
      <w:r>
        <w:rPr>
          <w:spacing w:val="-16"/>
        </w:rPr>
        <w:t xml:space="preserve"> </w:t>
      </w:r>
      <w:r>
        <w:t>wird.</w:t>
      </w:r>
    </w:p>
    <w:p w14:paraId="2A9F490E" w14:textId="77777777" w:rsidR="00EC4803" w:rsidRDefault="00EC4803">
      <w:pPr>
        <w:pStyle w:val="Textkrper"/>
        <w:spacing w:before="8"/>
      </w:pPr>
    </w:p>
    <w:p w14:paraId="3BC25B3A" w14:textId="77777777" w:rsidR="00EC4803" w:rsidRDefault="00000000">
      <w:pPr>
        <w:pStyle w:val="Textkrper"/>
        <w:spacing w:before="1" w:line="242" w:lineRule="auto"/>
        <w:ind w:left="112" w:right="113"/>
        <w:jc w:val="both"/>
      </w:pPr>
      <w:r>
        <w:t>Ich muss Ihnen ganz offen sagen, dass Sie mutig sein müssen, denn Sie könnten stark kritisiert werden, weil Sie es wagen, über die "andere Seite" der Impfstoffgeschichte zu</w:t>
      </w:r>
    </w:p>
    <w:p w14:paraId="2A32A24E" w14:textId="77777777" w:rsidR="00EC4803" w:rsidRDefault="00EC4803">
      <w:pPr>
        <w:spacing w:line="242" w:lineRule="auto"/>
        <w:jc w:val="both"/>
        <w:sectPr w:rsidR="00EC4803">
          <w:pgSz w:w="11910" w:h="16840"/>
          <w:pgMar w:top="1100" w:right="1020" w:bottom="1080" w:left="1020" w:header="0" w:footer="881" w:gutter="0"/>
          <w:cols w:space="720"/>
        </w:sectPr>
      </w:pPr>
    </w:p>
    <w:p w14:paraId="738942D4" w14:textId="77777777" w:rsidR="00EC4803" w:rsidRDefault="00000000">
      <w:pPr>
        <w:pStyle w:val="Textkrper"/>
        <w:spacing w:before="80" w:line="242" w:lineRule="auto"/>
        <w:ind w:left="112" w:right="112"/>
        <w:jc w:val="both"/>
      </w:pPr>
      <w:r>
        <w:lastRenderedPageBreak/>
        <w:t>sprechen. Seien Sie darauf vorbereitet und haben Sie den Mut, nicht klein beizugeben. Nur wenn wir unsere Sichtweise und das, was wir über das Impfen wissen, mitteilen, wird sich die öffentliche Diskussion über das Impfen öffnen, so dass die Menschen keine Angst haben, darüber zu</w:t>
      </w:r>
      <w:r>
        <w:rPr>
          <w:spacing w:val="-3"/>
        </w:rPr>
        <w:t xml:space="preserve"> </w:t>
      </w:r>
      <w:r>
        <w:t>sprechen.</w:t>
      </w:r>
    </w:p>
    <w:p w14:paraId="73D5BD91" w14:textId="77777777" w:rsidR="00EC4803" w:rsidRDefault="00EC4803">
      <w:pPr>
        <w:spacing w:line="242" w:lineRule="auto"/>
        <w:jc w:val="both"/>
        <w:sectPr w:rsidR="00EC4803">
          <w:pgSz w:w="11910" w:h="16840"/>
          <w:pgMar w:top="960" w:right="1020" w:bottom="1080" w:left="1020" w:header="0" w:footer="881" w:gutter="0"/>
          <w:cols w:space="720"/>
        </w:sectPr>
      </w:pPr>
    </w:p>
    <w:p w14:paraId="69D65BEF" w14:textId="77777777" w:rsidR="00EC4803" w:rsidRDefault="00000000">
      <w:pPr>
        <w:pStyle w:val="Textkrper"/>
        <w:spacing w:before="76" w:line="242" w:lineRule="auto"/>
        <w:ind w:left="112" w:right="109"/>
        <w:jc w:val="both"/>
      </w:pPr>
      <w:r>
        <w:lastRenderedPageBreak/>
        <w:t xml:space="preserve">Wir dürfen nicht zulassen, dass die Pharmaunternehmen und die von ihnen finanzierten medizinischen Fachverbände das Gespräch über Impfungen dominieren. Impfgeschädigte dürfen nicht unter den Teppich gekehrt und als "statistisch akzeptabler Kollateralschaden" einer nationalen Einheitsimpfungspolitik behandelt werden, die viel zu viele Menschen dem Risiko von Verletzungen und Tod aussetzt. Wir sollten Menschen nicht wie Versuchskaninchen statt wie </w:t>
      </w:r>
      <w:r>
        <w:rPr>
          <w:i/>
        </w:rPr>
        <w:t>Menschen</w:t>
      </w:r>
      <w:r>
        <w:rPr>
          <w:i/>
          <w:spacing w:val="-2"/>
        </w:rPr>
        <w:t xml:space="preserve"> </w:t>
      </w:r>
      <w:r>
        <w:rPr>
          <w:i/>
        </w:rPr>
        <w:t>behandeln</w:t>
      </w:r>
      <w:r>
        <w:t>.</w:t>
      </w:r>
    </w:p>
    <w:p w14:paraId="5F91CE31" w14:textId="77777777" w:rsidR="00EC4803" w:rsidRDefault="00EC4803">
      <w:pPr>
        <w:pStyle w:val="Textkrper"/>
        <w:spacing w:before="10"/>
      </w:pPr>
    </w:p>
    <w:p w14:paraId="77A01CFE" w14:textId="77777777" w:rsidR="00EC4803" w:rsidRDefault="00000000">
      <w:pPr>
        <w:pStyle w:val="berschrift1"/>
        <w:ind w:left="511"/>
      </w:pPr>
      <w:bookmarkStart w:id="12" w:name="Internet-Ressourcen,_wo_Sie_mehr_erfahre"/>
      <w:bookmarkEnd w:id="12"/>
      <w:r>
        <w:t>Internet-Ressourcen, wo Sie mehr erfahren können</w:t>
      </w:r>
    </w:p>
    <w:p w14:paraId="54852B64" w14:textId="77777777" w:rsidR="00EC4803" w:rsidRDefault="00000000">
      <w:pPr>
        <w:pStyle w:val="Textkrper"/>
        <w:spacing w:before="319" w:line="242" w:lineRule="auto"/>
        <w:ind w:left="112" w:right="113"/>
        <w:jc w:val="both"/>
      </w:pPr>
      <w:r>
        <w:t xml:space="preserve">Ich möchte Sie ermutigen, die folgenden Webseiten auf der Website des National Vaccine Information Center (NVIC) unter </w:t>
      </w:r>
      <w:hyperlink r:id="rId12">
        <w:r>
          <w:rPr>
            <w:color w:val="021EAA"/>
            <w:u w:val="single" w:color="021EAA"/>
          </w:rPr>
          <w:t>www.NVIC.org</w:t>
        </w:r>
        <w:r>
          <w:rPr>
            <w:color w:val="021EAA"/>
          </w:rPr>
          <w:t xml:space="preserve"> </w:t>
        </w:r>
      </w:hyperlink>
      <w:r>
        <w:t>zu besuchen</w:t>
      </w:r>
      <w:hyperlink r:id="rId13">
        <w:r>
          <w:t>:</w:t>
        </w:r>
      </w:hyperlink>
    </w:p>
    <w:p w14:paraId="13DE838E" w14:textId="77777777" w:rsidR="00EC4803" w:rsidRDefault="00EC4803">
      <w:pPr>
        <w:pStyle w:val="Textkrper"/>
        <w:spacing w:before="1"/>
        <w:rPr>
          <w:sz w:val="25"/>
        </w:rPr>
      </w:pPr>
    </w:p>
    <w:p w14:paraId="5A69AB76" w14:textId="77777777" w:rsidR="00EC4803" w:rsidRDefault="00000000">
      <w:pPr>
        <w:pStyle w:val="Listenabsatz"/>
        <w:numPr>
          <w:ilvl w:val="0"/>
          <w:numId w:val="1"/>
        </w:numPr>
        <w:tabs>
          <w:tab w:val="left" w:pos="828"/>
        </w:tabs>
        <w:spacing w:before="93" w:line="242" w:lineRule="auto"/>
        <w:rPr>
          <w:color w:val="0000ED"/>
          <w:sz w:val="24"/>
        </w:rPr>
      </w:pPr>
      <w:r>
        <w:rPr>
          <w:color w:val="021EAA"/>
          <w:sz w:val="24"/>
          <w:u w:val="single" w:color="021EAA"/>
        </w:rPr>
        <w:t>NVIC-Gedenkstätte für Impfstoffopfer</w:t>
      </w:r>
      <w:r>
        <w:rPr>
          <w:sz w:val="24"/>
        </w:rPr>
        <w:t>: Schauen Sie sich Beschreibungen und Fotos von Kindern und Erwachsenen an, die durch Impfstoffe geschädigt wurden, Verletzungen erlitten haben oder gestorben sind. Wenn Sie oder Ihr Kind einen Impfschaden erlitten haben, sollten Sie Ihre Geschichte hier veröffentlichen und mit anderen</w:t>
      </w:r>
      <w:r>
        <w:rPr>
          <w:spacing w:val="-2"/>
          <w:sz w:val="24"/>
        </w:rPr>
        <w:t xml:space="preserve"> </w:t>
      </w:r>
      <w:r>
        <w:rPr>
          <w:sz w:val="24"/>
        </w:rPr>
        <w:t>teilen.</w:t>
      </w:r>
    </w:p>
    <w:p w14:paraId="22E3B5A5" w14:textId="77777777" w:rsidR="00EC4803" w:rsidRDefault="00000000">
      <w:pPr>
        <w:pStyle w:val="Listenabsatz"/>
        <w:numPr>
          <w:ilvl w:val="0"/>
          <w:numId w:val="1"/>
        </w:numPr>
        <w:tabs>
          <w:tab w:val="left" w:pos="828"/>
        </w:tabs>
        <w:spacing w:before="104"/>
        <w:rPr>
          <w:color w:val="0000ED"/>
          <w:sz w:val="24"/>
        </w:rPr>
      </w:pPr>
      <w:r>
        <w:rPr>
          <w:color w:val="021EAA"/>
          <w:sz w:val="24"/>
          <w:u w:val="single" w:color="021EAA"/>
        </w:rPr>
        <w:t>Wenn Sie sich impfen lassen, stellen Sie 8 Fragen</w:t>
      </w:r>
      <w:r>
        <w:rPr>
          <w:sz w:val="24"/>
        </w:rPr>
        <w:t>: Erfahren Sie, wie Sie die Symptome einer Impfreaktion erkennen und Impfschäden vermeiden</w:t>
      </w:r>
      <w:r>
        <w:rPr>
          <w:spacing w:val="-18"/>
          <w:sz w:val="24"/>
        </w:rPr>
        <w:t xml:space="preserve"> </w:t>
      </w:r>
      <w:r>
        <w:rPr>
          <w:sz w:val="24"/>
        </w:rPr>
        <w:t>können.</w:t>
      </w:r>
    </w:p>
    <w:p w14:paraId="14BC4460" w14:textId="77777777" w:rsidR="00EC4803" w:rsidRDefault="00000000">
      <w:pPr>
        <w:pStyle w:val="Listenabsatz"/>
        <w:numPr>
          <w:ilvl w:val="0"/>
          <w:numId w:val="1"/>
        </w:numPr>
        <w:tabs>
          <w:tab w:val="left" w:pos="828"/>
        </w:tabs>
        <w:spacing w:before="106" w:line="242" w:lineRule="auto"/>
        <w:ind w:right="110"/>
        <w:rPr>
          <w:color w:val="0000ED"/>
          <w:sz w:val="24"/>
        </w:rPr>
      </w:pPr>
      <w:r>
        <w:rPr>
          <w:color w:val="021EAA"/>
          <w:sz w:val="24"/>
          <w:u w:val="single" w:color="021EAA"/>
        </w:rPr>
        <w:t>Mauer der Impffreiheit</w:t>
      </w:r>
      <w:r>
        <w:rPr>
          <w:sz w:val="24"/>
        </w:rPr>
        <w:t>: Sehen Sie sich Beschreibungen von Schikanen durch Ärzte oder Regierungsbeamte an, weil sie unabhängige Impfstoffentscheidungen getroffen</w:t>
      </w:r>
      <w:r>
        <w:rPr>
          <w:spacing w:val="-2"/>
          <w:sz w:val="24"/>
        </w:rPr>
        <w:t xml:space="preserve"> </w:t>
      </w:r>
      <w:r>
        <w:rPr>
          <w:sz w:val="24"/>
        </w:rPr>
        <w:t>haben.</w:t>
      </w:r>
    </w:p>
    <w:p w14:paraId="1597CAA7" w14:textId="77777777" w:rsidR="00EC4803" w:rsidRDefault="00EC4803">
      <w:pPr>
        <w:pStyle w:val="Textkrper"/>
        <w:spacing w:before="4"/>
        <w:rPr>
          <w:sz w:val="33"/>
        </w:rPr>
      </w:pPr>
    </w:p>
    <w:p w14:paraId="7B462FD9" w14:textId="77777777" w:rsidR="00EC4803" w:rsidRDefault="00000000">
      <w:pPr>
        <w:pStyle w:val="berschrift1"/>
        <w:ind w:left="4105" w:right="551" w:hanging="3558"/>
        <w:jc w:val="left"/>
      </w:pPr>
      <w:bookmarkStart w:id="13" w:name="Bleiben_Sie_bei_Ihrem_Arzt_oder_finden_S"/>
      <w:bookmarkEnd w:id="13"/>
      <w:r>
        <w:rPr>
          <w:w w:val="90"/>
        </w:rPr>
        <w:t>Bleiben</w:t>
      </w:r>
      <w:r>
        <w:rPr>
          <w:spacing w:val="-45"/>
          <w:w w:val="90"/>
        </w:rPr>
        <w:t xml:space="preserve"> </w:t>
      </w:r>
      <w:r>
        <w:rPr>
          <w:w w:val="90"/>
        </w:rPr>
        <w:t>Sie</w:t>
      </w:r>
      <w:r>
        <w:rPr>
          <w:spacing w:val="-45"/>
          <w:w w:val="90"/>
        </w:rPr>
        <w:t xml:space="preserve"> </w:t>
      </w:r>
      <w:r>
        <w:rPr>
          <w:w w:val="90"/>
        </w:rPr>
        <w:t>bei</w:t>
      </w:r>
      <w:r>
        <w:rPr>
          <w:spacing w:val="-45"/>
          <w:w w:val="90"/>
        </w:rPr>
        <w:t xml:space="preserve"> </w:t>
      </w:r>
      <w:r>
        <w:rPr>
          <w:w w:val="90"/>
        </w:rPr>
        <w:t>Ihrem</w:t>
      </w:r>
      <w:r>
        <w:rPr>
          <w:spacing w:val="-45"/>
          <w:w w:val="90"/>
        </w:rPr>
        <w:t xml:space="preserve"> </w:t>
      </w:r>
      <w:r>
        <w:rPr>
          <w:w w:val="90"/>
        </w:rPr>
        <w:t>Arzt</w:t>
      </w:r>
      <w:r>
        <w:rPr>
          <w:spacing w:val="-45"/>
          <w:w w:val="90"/>
        </w:rPr>
        <w:t xml:space="preserve"> </w:t>
      </w:r>
      <w:r>
        <w:rPr>
          <w:w w:val="90"/>
        </w:rPr>
        <w:t>oder</w:t>
      </w:r>
      <w:r>
        <w:rPr>
          <w:spacing w:val="-45"/>
          <w:w w:val="90"/>
        </w:rPr>
        <w:t xml:space="preserve"> </w:t>
      </w:r>
      <w:r>
        <w:rPr>
          <w:w w:val="90"/>
        </w:rPr>
        <w:t>finden</w:t>
      </w:r>
      <w:r>
        <w:rPr>
          <w:spacing w:val="-45"/>
          <w:w w:val="90"/>
        </w:rPr>
        <w:t xml:space="preserve"> </w:t>
      </w:r>
      <w:r>
        <w:rPr>
          <w:w w:val="90"/>
        </w:rPr>
        <w:t>Sie</w:t>
      </w:r>
      <w:r>
        <w:rPr>
          <w:spacing w:val="-45"/>
          <w:w w:val="90"/>
        </w:rPr>
        <w:t xml:space="preserve"> </w:t>
      </w:r>
      <w:r>
        <w:rPr>
          <w:w w:val="90"/>
        </w:rPr>
        <w:t>einen</w:t>
      </w:r>
      <w:r>
        <w:rPr>
          <w:spacing w:val="-44"/>
          <w:w w:val="90"/>
        </w:rPr>
        <w:t xml:space="preserve"> </w:t>
      </w:r>
      <w:r>
        <w:rPr>
          <w:w w:val="90"/>
        </w:rPr>
        <w:t>neuen,</w:t>
      </w:r>
      <w:r>
        <w:rPr>
          <w:spacing w:val="-45"/>
          <w:w w:val="90"/>
        </w:rPr>
        <w:t xml:space="preserve"> </w:t>
      </w:r>
      <w:r>
        <w:rPr>
          <w:w w:val="90"/>
        </w:rPr>
        <w:t>der</w:t>
      </w:r>
      <w:r>
        <w:rPr>
          <w:spacing w:val="-45"/>
          <w:w w:val="90"/>
        </w:rPr>
        <w:t xml:space="preserve"> </w:t>
      </w:r>
      <w:r>
        <w:rPr>
          <w:w w:val="90"/>
        </w:rPr>
        <w:t>zuhört</w:t>
      </w:r>
      <w:r>
        <w:rPr>
          <w:spacing w:val="-45"/>
          <w:w w:val="90"/>
        </w:rPr>
        <w:t xml:space="preserve"> </w:t>
      </w:r>
      <w:r>
        <w:rPr>
          <w:w w:val="90"/>
        </w:rPr>
        <w:t xml:space="preserve">und </w:t>
      </w:r>
      <w:r>
        <w:rPr>
          <w:spacing w:val="-3"/>
          <w:w w:val="95"/>
        </w:rPr>
        <w:t>sich</w:t>
      </w:r>
      <w:r>
        <w:rPr>
          <w:spacing w:val="-20"/>
          <w:w w:val="95"/>
        </w:rPr>
        <w:t xml:space="preserve"> </w:t>
      </w:r>
      <w:r>
        <w:rPr>
          <w:spacing w:val="-4"/>
          <w:w w:val="95"/>
        </w:rPr>
        <w:t>kümmert</w:t>
      </w:r>
    </w:p>
    <w:p w14:paraId="4EA6871A" w14:textId="77777777" w:rsidR="00EC4803" w:rsidRDefault="00000000">
      <w:pPr>
        <w:pStyle w:val="Textkrper"/>
        <w:spacing w:before="318" w:line="242" w:lineRule="auto"/>
        <w:ind w:left="112" w:right="108"/>
        <w:jc w:val="both"/>
      </w:pPr>
      <w:r>
        <w:t xml:space="preserve">Wenn Ihr Kinderarzt oder Ihre Ärztin sich weigert, Sie oder Ihr Kind medizinisch zu versorgen, es sei denn, Sie stimmen Impfungen zu, die Sie nicht wollen, möchte ich Sie dringend ermutigen, </w:t>
      </w:r>
      <w:r>
        <w:rPr>
          <w:i/>
        </w:rPr>
        <w:t>den Mut zu haben, einen anderen Arzt zu suchen</w:t>
      </w:r>
      <w:r>
        <w:t>. Schikanen, Einschüchterungen und die Verweigerung medizinischer Versorgung werden zum Modus Operandi des medizinischen Establishments in dem Bemühen, die veränderte Haltung vieler Eltern gegenüber Impfungen zu stoppen, nachdem sie sich wirklich über Gesundheit und Impfungen informiert haben. Doch es gibt Hoffnung.</w:t>
      </w:r>
    </w:p>
    <w:p w14:paraId="6599C03E" w14:textId="77777777" w:rsidR="00EC4803" w:rsidRDefault="00EC4803">
      <w:pPr>
        <w:pStyle w:val="Textkrper"/>
        <w:spacing w:before="9"/>
      </w:pPr>
    </w:p>
    <w:p w14:paraId="5670F585" w14:textId="77777777" w:rsidR="00EC4803" w:rsidRDefault="00000000">
      <w:pPr>
        <w:pStyle w:val="Textkrper"/>
        <w:spacing w:line="242" w:lineRule="auto"/>
        <w:ind w:left="112" w:right="110"/>
        <w:jc w:val="both"/>
      </w:pPr>
      <w:r>
        <w:t>Mindestens 15 Prozent der kürzlich befragten jungen Ärzte geben zu, dass sie als unmittelbare Reaktion auf die Bedenken der Eltern in Bezug auf die Sicherheit von Impfstoffen einen individuelleren Ansatz bei Impfungen wählen. Es ist eine gute Nachricht, dass es eine wachsende Zahl kluger junger Ärzte gibt, die es vorziehen, als Partner mit den Eltern zusammenzuarbeiten, wenn es darum geht, personalisierte Impfentscheidungen für Kinder zu treffen, einschließlich des Aufschubs von Impfungen oder der Verabreichung von weniger Impfstoffen am selben Tag oder der weiteren medizinischen Versorgung von Familien, die einen oder mehrere Impfstoffe ablehnen. Nehmen Sie sich also die Zeit, einen Arzt zu finden, der Ihnen mit Mitgefühl und Respekt begegnet und bereit ist, mit Ihnen zusammenzuarbeiten, um das Richtige für Ihr Kind zu tun.</w:t>
      </w:r>
    </w:p>
    <w:p w14:paraId="4687D7D7" w14:textId="77777777" w:rsidR="00EC4803" w:rsidRDefault="00EC4803">
      <w:pPr>
        <w:pStyle w:val="Textkrper"/>
        <w:spacing w:before="9"/>
      </w:pPr>
    </w:p>
    <w:p w14:paraId="64703BDA" w14:textId="77777777" w:rsidR="00EC4803" w:rsidRDefault="00000000">
      <w:pPr>
        <w:pStyle w:val="Textkrper"/>
        <w:ind w:left="112"/>
        <w:jc w:val="both"/>
      </w:pPr>
      <w:r>
        <w:t>Weitere Informationen finden Sie unter den folgenden YouTube-Links:</w:t>
      </w:r>
    </w:p>
    <w:p w14:paraId="40B517DA" w14:textId="77777777" w:rsidR="00EC4803" w:rsidRDefault="00EC4803">
      <w:pPr>
        <w:jc w:val="both"/>
        <w:sectPr w:rsidR="00EC4803">
          <w:pgSz w:w="11910" w:h="16840"/>
          <w:pgMar w:top="1040" w:right="1020" w:bottom="1080" w:left="1020" w:header="0" w:footer="881" w:gutter="0"/>
          <w:cols w:space="720"/>
        </w:sectPr>
      </w:pPr>
    </w:p>
    <w:p w14:paraId="7E60D11F" w14:textId="77777777" w:rsidR="00EC4803" w:rsidRDefault="00000000">
      <w:pPr>
        <w:pStyle w:val="Listenabsatz"/>
        <w:numPr>
          <w:ilvl w:val="0"/>
          <w:numId w:val="1"/>
        </w:numPr>
        <w:tabs>
          <w:tab w:val="left" w:pos="827"/>
          <w:tab w:val="left" w:pos="828"/>
        </w:tabs>
        <w:spacing w:before="80"/>
        <w:ind w:right="0"/>
        <w:jc w:val="left"/>
        <w:rPr>
          <w:sz w:val="24"/>
        </w:rPr>
      </w:pPr>
      <w:hyperlink r:id="rId14">
        <w:r>
          <w:rPr>
            <w:color w:val="021EAA"/>
            <w:spacing w:val="-3"/>
            <w:sz w:val="24"/>
            <w:u w:val="single" w:color="021EAA"/>
          </w:rPr>
          <w:t>http://www.youtube.com/watch?v=e43I2F9PY2M&amp;feature=player_embedded</w:t>
        </w:r>
      </w:hyperlink>
    </w:p>
    <w:p w14:paraId="634384AD" w14:textId="77777777" w:rsidR="00EC4803" w:rsidRDefault="00000000">
      <w:pPr>
        <w:pStyle w:val="Listenabsatz"/>
        <w:numPr>
          <w:ilvl w:val="0"/>
          <w:numId w:val="1"/>
        </w:numPr>
        <w:tabs>
          <w:tab w:val="left" w:pos="827"/>
          <w:tab w:val="left" w:pos="828"/>
        </w:tabs>
        <w:spacing w:before="94" w:line="228" w:lineRule="auto"/>
        <w:ind w:right="1207"/>
        <w:jc w:val="left"/>
        <w:rPr>
          <w:sz w:val="24"/>
        </w:rPr>
      </w:pPr>
      <w:hyperlink r:id="rId15">
        <w:r>
          <w:rPr>
            <w:color w:val="021EAA"/>
            <w:spacing w:val="-3"/>
            <w:sz w:val="24"/>
            <w:u w:val="single" w:color="021EAA"/>
          </w:rPr>
          <w:t>http://www.youtube.com/watch?</w:t>
        </w:r>
      </w:hyperlink>
      <w:r>
        <w:rPr>
          <w:color w:val="021EAA"/>
          <w:spacing w:val="-3"/>
          <w:sz w:val="24"/>
          <w:u w:val="single" w:color="021EAA"/>
        </w:rPr>
        <w:t xml:space="preserve"> list=PL8C733E4A572CA427&amp;v=bsWHiQfwxBc&amp;feature=player_embedded</w:t>
      </w:r>
    </w:p>
    <w:p w14:paraId="3045C8C6" w14:textId="77777777" w:rsidR="00EC4803" w:rsidRDefault="00000000">
      <w:pPr>
        <w:pStyle w:val="Listenabsatz"/>
        <w:numPr>
          <w:ilvl w:val="0"/>
          <w:numId w:val="1"/>
        </w:numPr>
        <w:tabs>
          <w:tab w:val="left" w:pos="827"/>
          <w:tab w:val="left" w:pos="828"/>
        </w:tabs>
        <w:spacing w:before="117" w:line="228" w:lineRule="auto"/>
        <w:ind w:right="1007"/>
        <w:jc w:val="left"/>
        <w:rPr>
          <w:sz w:val="24"/>
        </w:rPr>
      </w:pPr>
      <w:hyperlink r:id="rId16">
        <w:r>
          <w:rPr>
            <w:color w:val="021EAA"/>
            <w:spacing w:val="-3"/>
            <w:sz w:val="24"/>
            <w:u w:val="single" w:color="021EAA"/>
          </w:rPr>
          <w:t>http://www.youtube.com/watch?</w:t>
        </w:r>
      </w:hyperlink>
      <w:r>
        <w:rPr>
          <w:color w:val="021EAA"/>
          <w:spacing w:val="-3"/>
          <w:sz w:val="24"/>
          <w:u w:val="single" w:color="021EAA"/>
        </w:rPr>
        <w:t xml:space="preserve"> list=PLA4C0EE7C6DCF3713&amp;v=CXWBxxVk_h0&amp;feature=player_embedded</w:t>
      </w:r>
    </w:p>
    <w:sectPr w:rsidR="00EC4803">
      <w:pgSz w:w="11910" w:h="16840"/>
      <w:pgMar w:top="960" w:right="1020" w:bottom="1080" w:left="1020" w:header="0"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8656" w14:textId="77777777" w:rsidR="00F3127E" w:rsidRDefault="00F3127E">
      <w:r>
        <w:separator/>
      </w:r>
    </w:p>
  </w:endnote>
  <w:endnote w:type="continuationSeparator" w:id="0">
    <w:p w14:paraId="3D5DDA71" w14:textId="77777777" w:rsidR="00F3127E" w:rsidRDefault="00F3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ade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C4BE" w14:textId="77777777" w:rsidR="00EC4803" w:rsidRDefault="00000000">
    <w:pPr>
      <w:pStyle w:val="Textkrper"/>
      <w:spacing w:line="14" w:lineRule="auto"/>
      <w:rPr>
        <w:sz w:val="20"/>
      </w:rPr>
    </w:pPr>
    <w:r>
      <w:pict w14:anchorId="44697551">
        <v:shapetype id="_x0000_t202" coordsize="21600,21600" o:spt="202" path="m,l,21600r21600,l21600,xe">
          <v:stroke joinstyle="miter"/>
          <v:path gradientshapeok="t" o:connecttype="rect"/>
        </v:shapetype>
        <v:shape id="_x0000_s1025" type="#_x0000_t202" style="position:absolute;margin-left:529.8pt;margin-top:786.9pt;width:15.75pt;height:13.2pt;z-index:-251658752;mso-position-horizontal-relative:page;mso-position-vertical-relative:page" filled="f" stroked="f">
          <v:textbox inset="0,0,0,0">
            <w:txbxContent>
              <w:p w14:paraId="37FC4613" w14:textId="77777777" w:rsidR="00EC4803" w:rsidRDefault="00000000">
                <w:pPr>
                  <w:spacing w:before="14"/>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2980" w14:textId="77777777" w:rsidR="00F3127E" w:rsidRDefault="00F3127E">
      <w:r>
        <w:separator/>
      </w:r>
    </w:p>
  </w:footnote>
  <w:footnote w:type="continuationSeparator" w:id="0">
    <w:p w14:paraId="428DA895" w14:textId="77777777" w:rsidR="00F3127E" w:rsidRDefault="00F31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54CDE"/>
    <w:multiLevelType w:val="hybridMultilevel"/>
    <w:tmpl w:val="5B9839F0"/>
    <w:lvl w:ilvl="0" w:tplc="394A240E">
      <w:numFmt w:val="bullet"/>
      <w:lvlText w:val="•"/>
      <w:lvlJc w:val="left"/>
      <w:pPr>
        <w:ind w:left="828" w:hanging="358"/>
      </w:pPr>
      <w:rPr>
        <w:rFonts w:hint="default"/>
        <w:spacing w:val="-2"/>
        <w:w w:val="100"/>
        <w:lang w:val="de-DE" w:eastAsia="en-US" w:bidi="ar-SA"/>
      </w:rPr>
    </w:lvl>
    <w:lvl w:ilvl="1" w:tplc="6FA8FA8A">
      <w:numFmt w:val="bullet"/>
      <w:lvlText w:val="•"/>
      <w:lvlJc w:val="left"/>
      <w:pPr>
        <w:ind w:left="1724" w:hanging="358"/>
      </w:pPr>
      <w:rPr>
        <w:rFonts w:hint="default"/>
        <w:lang w:val="de-DE" w:eastAsia="en-US" w:bidi="ar-SA"/>
      </w:rPr>
    </w:lvl>
    <w:lvl w:ilvl="2" w:tplc="0D582F6E">
      <w:numFmt w:val="bullet"/>
      <w:lvlText w:val="•"/>
      <w:lvlJc w:val="left"/>
      <w:pPr>
        <w:ind w:left="2628" w:hanging="358"/>
      </w:pPr>
      <w:rPr>
        <w:rFonts w:hint="default"/>
        <w:lang w:val="de-DE" w:eastAsia="en-US" w:bidi="ar-SA"/>
      </w:rPr>
    </w:lvl>
    <w:lvl w:ilvl="3" w:tplc="09E63256">
      <w:numFmt w:val="bullet"/>
      <w:lvlText w:val="•"/>
      <w:lvlJc w:val="left"/>
      <w:pPr>
        <w:ind w:left="3532" w:hanging="358"/>
      </w:pPr>
      <w:rPr>
        <w:rFonts w:hint="default"/>
        <w:lang w:val="de-DE" w:eastAsia="en-US" w:bidi="ar-SA"/>
      </w:rPr>
    </w:lvl>
    <w:lvl w:ilvl="4" w:tplc="94B43BF8">
      <w:numFmt w:val="bullet"/>
      <w:lvlText w:val="•"/>
      <w:lvlJc w:val="left"/>
      <w:pPr>
        <w:ind w:left="4436" w:hanging="358"/>
      </w:pPr>
      <w:rPr>
        <w:rFonts w:hint="default"/>
        <w:lang w:val="de-DE" w:eastAsia="en-US" w:bidi="ar-SA"/>
      </w:rPr>
    </w:lvl>
    <w:lvl w:ilvl="5" w:tplc="0FCEB608">
      <w:numFmt w:val="bullet"/>
      <w:lvlText w:val="•"/>
      <w:lvlJc w:val="left"/>
      <w:pPr>
        <w:ind w:left="5340" w:hanging="358"/>
      </w:pPr>
      <w:rPr>
        <w:rFonts w:hint="default"/>
        <w:lang w:val="de-DE" w:eastAsia="en-US" w:bidi="ar-SA"/>
      </w:rPr>
    </w:lvl>
    <w:lvl w:ilvl="6" w:tplc="BE36B380">
      <w:numFmt w:val="bullet"/>
      <w:lvlText w:val="•"/>
      <w:lvlJc w:val="left"/>
      <w:pPr>
        <w:ind w:left="6244" w:hanging="358"/>
      </w:pPr>
      <w:rPr>
        <w:rFonts w:hint="default"/>
        <w:lang w:val="de-DE" w:eastAsia="en-US" w:bidi="ar-SA"/>
      </w:rPr>
    </w:lvl>
    <w:lvl w:ilvl="7" w:tplc="DADA7F48">
      <w:numFmt w:val="bullet"/>
      <w:lvlText w:val="•"/>
      <w:lvlJc w:val="left"/>
      <w:pPr>
        <w:ind w:left="7148" w:hanging="358"/>
      </w:pPr>
      <w:rPr>
        <w:rFonts w:hint="default"/>
        <w:lang w:val="de-DE" w:eastAsia="en-US" w:bidi="ar-SA"/>
      </w:rPr>
    </w:lvl>
    <w:lvl w:ilvl="8" w:tplc="5400E502">
      <w:numFmt w:val="bullet"/>
      <w:lvlText w:val="•"/>
      <w:lvlJc w:val="left"/>
      <w:pPr>
        <w:ind w:left="8052" w:hanging="358"/>
      </w:pPr>
      <w:rPr>
        <w:rFonts w:hint="default"/>
        <w:lang w:val="de-DE" w:eastAsia="en-US" w:bidi="ar-SA"/>
      </w:rPr>
    </w:lvl>
  </w:abstractNum>
  <w:num w:numId="1" w16cid:durableId="124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C4803"/>
    <w:rsid w:val="00747565"/>
    <w:rsid w:val="00EC4803"/>
    <w:rsid w:val="00F312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0940185"/>
  <w15:docId w15:val="{8803A82E-15BB-4EB2-9E19-A0BF7F9E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513" w:right="511"/>
      <w:jc w:val="center"/>
      <w:outlineLvl w:val="0"/>
    </w:pPr>
    <w:rPr>
      <w:rFonts w:ascii="Carlito" w:eastAsia="Carlito" w:hAnsi="Carlito" w:cs="Carlito"/>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828" w:right="111" w:hanging="358"/>
      <w:jc w:val="both"/>
    </w:pPr>
  </w:style>
  <w:style w:type="paragraph" w:customStyle="1" w:styleId="TableParagraph">
    <w:name w:val="Table Paragraph"/>
    <w:basedOn w:val="Standard"/>
    <w:uiPriority w:val="1"/>
    <w:qFormat/>
    <w:rPr>
      <w:rFonts w:ascii="Caladea" w:eastAsia="Caladea" w:hAnsi="Caladea" w:cs="Calade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vic.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vi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wat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vicadvocacy.org/" TargetMode="External"/><Relationship Id="rId5" Type="http://schemas.openxmlformats.org/officeDocument/2006/relationships/footnotes" Target="footnotes.xml"/><Relationship Id="rId15" Type="http://schemas.openxmlformats.org/officeDocument/2006/relationships/hyperlink" Target="http://www.youtube.com/watch" TargetMode="External"/><Relationship Id="rId10" Type="http://schemas.openxmlformats.org/officeDocument/2006/relationships/hyperlink" Target="http://www.mercola.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youtube.com/watch?v=e43I2F9PY2M&amp;feature=player_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3003</Words>
  <Characters>18920</Characters>
  <Application>Microsoft Office Word</Application>
  <DocSecurity>0</DocSecurity>
  <Lines>157</Lines>
  <Paragraphs>43</Paragraphs>
  <ScaleCrop>false</ScaleCrop>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Dangers Of Pertussis Vaccine</dc:title>
  <dc:creator>Admin Kannaan</dc:creator>
  <cp:keywords>, docId:04B70DF42945F3A1084C0EEF3A6495DA</cp:keywords>
  <cp:lastModifiedBy>Marc-Frederic Gruber</cp:lastModifiedBy>
  <cp:revision>2</cp:revision>
  <dcterms:created xsi:type="dcterms:W3CDTF">2022-12-08T11:20:00Z</dcterms:created>
  <dcterms:modified xsi:type="dcterms:W3CDTF">2022-12-08T11:24:00Z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2019</vt:lpwstr>
  </property>
  <property fmtid="{D5CDD505-2E9C-101B-9397-08002B2CF9AE}" pid="4" name="LastSaved">
    <vt:filetime>2022-12-08T00:00:00Z</vt:filetime>
  </property>
</Properties>
</file>